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 Министра энергетики Республики Казахстан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07.07.2026. № 227532. редакция от 07.07.2026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перечень некоторых приказов Министра энергетики Республики Казахстан,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юридический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Исполняющий обязанности министра энергетики Республики Казахстан | К. Туткышбаев |</w:t>
      </w:r>
    </w:p>
    <w:p>
      <w:r>
        <w:t xml:space="preserve">|---|---|</w:t>
      </w:r>
    </w:p>
    <w:p>
      <w:r>
        <w:t xml:space="preserve">|  | Утвержден приказом Исполняющий обязанности министра энергетики Республики Казахстан от 7 июля 2026 года № 255-н/қ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 Министра энергетики Республики Казахстан,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и.о. Министра энергетики Республики Казахстан от 15 января 2025 года № 19-н/қ "Об утверждении Правил мониторинга состояния теплоэнергетики" (зарегистрирован в Реестре государственной регистрации нормативных правовых актов под № 35646) следующие изменения:</w:t>
      </w:r>
    </w:p>
    <w:p>
      <w:r>
        <w:t xml:space="preserve">в Правилах мониторинга состояния теплоэнергетики, утвержденных указанным приказом:</w:t>
      </w:r>
    </w:p>
    <w:p>
      <w:r>
        <w:t xml:space="preserve">пункт 3 изложить в новой редакции:</w:t>
      </w:r>
    </w:p>
    <w:p>
      <w:r>
        <w:t xml:space="preserve">"3. Уполномоченный орган, уполномоченный орган в сфере жилищных отношений и жилищно-коммунального хозяйства, государственный орган по государственному энергетическому надзору и контролю и местные исполнительные органы осуществляют регулярный мониторинг, включая сбор, актуализацию и опубликование информации о состоянии объектов теплоэнергетики и тепловых сетей столицы, областей и городов республиканского значения.";</w:t>
      </w:r>
    </w:p>
    <w:p>
      <w:r>
        <w:t xml:space="preserve">пункт 6 изложить в новой редакции:</w:t>
      </w:r>
    </w:p>
    <w:p>
      <w:r>
        <w:t xml:space="preserve">"6. Местные исполнительные органы осуществляют регулярный мониторинг столицы, областей и городов республиканского значения с целью исключения дискриминационного подхода к доступу и возможности оплаты услуг по обеспечению тепловой энергией, в том числе в части оценки эксплуатационной надежности, технологической и экономической доступности тепловой энергии, подготовки к отопительному сезону на основе данных, полученных, в том числе от государственного органа по государственному энергетическому надзору и контролю с периодичностью не менее 1 (одного) раза в год и не чаще 1 (одного) раза в 3 (три) месяца.";</w:t>
      </w:r>
    </w:p>
    <w:p>
      <w:r>
        <w:t xml:space="preserve">пункт 15 изложить в новой редакции:</w:t>
      </w:r>
    </w:p>
    <w:p>
      <w:r>
        <w:t xml:space="preserve">"15. Теплопроизводящие субъекты в рамках централизованных и местных систем теплоснабжения предоставляют в местный исполнительный орган соответствующей территориальной единицы информацию о количестве использованного топлива во время отопительного сезона после его завершения на ежегодной основе с указанием вида и марки топлива. Местные исполнительные органы столицы, областей и городов республиканского значения сводные данные направляют в уполномоченный орган ежегодно в срок до 15 (пятнадцатого) июня года, следующего за отчетным, согласно формам, утвержденным в соответствии с приложением 4 к настоящим Правилам.".</w:t>
      </w:r>
    </w:p>
    <w:p>
      <w:r>
        <w:t xml:space="preserve">приложения 1 , 2 , 3 , 4 к Правилам изложить в новой редакции согласно приложениям 1 , 2 , 3 , 4 к настоящему Перечню.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Министра энергетики Республики Казахстан от 4 апреля 2025 года № 145-н/қ "Об утверждении Правил взаимодействия субъектов теплоснабжения и потребителей тепловой энергии" (зарегистрирован в Реестре государственной регистрации нормативных правовых актов под № 35964) следующие изменения:</w:t>
      </w:r>
    </w:p>
    <w:p>
      <w:r>
        <w:t xml:space="preserve">в Правилах взаимодействия субъектов теплоснабжения и потребителей тепловой энергии утвержденных указанным приказом:</w:t>
      </w:r>
    </w:p>
    <w:p>
      <w:r>
        <w:t xml:space="preserve">подпункт 3) пункт 45 изложить в новой редакции:</w:t>
      </w:r>
    </w:p>
    <w:p>
      <w:r>
        <w:t xml:space="preserve">"3) резервная тепловая мощность, МВт;</w:t>
      </w:r>
    </w:p>
    <w:p>
      <w:r>
        <w:t xml:space="preserve">топливная составляющая производства тепловой энергии, определяемая по формуле:</w:t>
      </w:r>
    </w:p>
    <w:p>
      <w:r>
        <w:t xml:space="preserve">Ст = bтэ * Цт * 7000 / KTт, теңге/МВт.ч,</w:t>
      </w:r>
    </w:p>
    <w:p>
      <w:r>
        <w:t xml:space="preserve">где bтэ - нормативный (целевой) удельный расход условного топлива на производство (отпуск) тепловой энергии источником тепловой энергии, кг.у.т/кВт.ч (м3/кВт.ч);</w:t>
      </w:r>
    </w:p>
    <w:p>
      <w:r>
        <w:t xml:space="preserve">Цт - плановая (прогнозируемая) цена топлива источника тепловой энергии, теңге/кг (теңге/м3);</w:t>
      </w:r>
    </w:p>
    <w:p>
      <w:r>
        <w:t xml:space="preserve">KTт - плановая (прогнозируемая) калорийность топлива источника тепловой энергии, ккал/кг (ккал/м3)".</w:t>
      </w:r>
    </w:p>
    <w:p>
      <w:r>
        <w:t xml:space="preserve">подпункт 3) пункт 60 изложить в новой редакции:</w:t>
      </w:r>
    </w:p>
    <w:p>
      <w:r>
        <w:t xml:space="preserve">"3) топливная составляющая производства тепловой энергии, определяемая по формуле, указанной в пункте 45 настоящих Правил для уточненных данных планового месяца, теңге/МВтч;".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Министра энергетики Республики Казахстан от 19 декабря 2025 года № 493-н/қ "Об утверждении Правил разработки и утверждения схем развития теплоснабжения" (зарегистрирован в Реестре государственной регистрации нормативных правовых актов под № 37632) следующие изменения:</w:t>
      </w:r>
    </w:p>
    <w:p>
      <w:r>
        <w:t xml:space="preserve">в Правилах разработки и утверждения схем развития теплоснабжения, утверждҰнных указанным приказом:</w:t>
      </w:r>
    </w:p>
    <w:p>
      <w:r>
        <w:t xml:space="preserve">пункт 4 изложить в новой редакции:</w:t>
      </w:r>
    </w:p>
    <w:p>
      <w:r>
        <w:t xml:space="preserve">"4. Схема разрабатывается местными исполнительными органами столицы, городов республиканского значения, районов и городов областного значения с учетом оптимального сочетания различных систем теплоснабжения. При определении рекомендуемого сценария рассматриваются доступные технологии и ресурсы, включая возобновляемые и альтернативные источники энергии, а также тенденции изменения спроса на тепловую энергию, в том числе снижение потребления за счет повышения энергоэффективности.";</w:t>
      </w:r>
    </w:p>
    <w:p>
      <w:r>
        <w:t xml:space="preserve">пункт 5 изложить в новой редакции:</w:t>
      </w:r>
    </w:p>
    <w:p>
      <w:r>
        <w:t xml:space="preserve">"5. Функционирование и развитие теплоэнергетики столицы, городов республиканского значения, районов и городов областного значения осуществляются на основе долгосрочных и среднесрочных схем в соответствии с пунктом 14 настоящих Правил.";</w:t>
      </w:r>
    </w:p>
    <w:p>
      <w:r>
        <w:t xml:space="preserve">пункт 15 изложить в новой редакции:</w:t>
      </w:r>
    </w:p>
    <w:p>
      <w:r>
        <w:t xml:space="preserve">"15. Схемы разрабатываются местными исполнительными органами столицы, городов республиканского значения, районов и городов областного значения.</w:t>
      </w:r>
    </w:p>
    <w:p>
      <w:r>
        <w:t xml:space="preserve">Местные исполнительные органы столицы, городов республиканского значения, районов и городов областного значения при разработке схем развития теплоснабжения определяют сроки, размеры, приоритетность и источники финансирования мероприятий для достижения целевых показателей теплоэнергетики с учетом местных условий в соответствии с пунктом 144 настоящих Правил.</w:t>
      </w:r>
    </w:p>
    <w:p>
      <w:r>
        <w:t xml:space="preserve">При разработке схемы в местных исполнительных органах столицы, городов республиканского значения, районов и городов областного значения создаются проектные группы, которые сопровождают процесс разработки схемы, содействуют сбору данных, организуют вовлечение заинтересованных лиц, общественности, а также принимают участие в обсуждении и принятии промежуточных решений на отдельных этапах разработки, в частности:</w:t>
      </w:r>
    </w:p>
    <w:p>
      <w:pPr>
        <w:pStyle w:val="Heading2"/>
      </w:pPr>
      <w:r>
        <w:t xml:space="preserve">Подпункт 1</w:t>
      </w:r>
    </w:p>
    <w:p>
      <w:r>
        <w:t xml:space="preserve">1) по списку источников энергии, технологий и мер с высоким потенциалом снижения эмиссий диоксида углерода (CO₂), рассматриваемых в углубленном анализе;</w:t>
      </w:r>
    </w:p>
    <w:p>
      <w:pPr>
        <w:pStyle w:val="Heading2"/>
      </w:pPr>
      <w:r>
        <w:t xml:space="preserve">Подпункт 2</w:t>
      </w:r>
    </w:p>
    <w:p>
      <w:r>
        <w:t xml:space="preserve">2) по характеристикам рассматриваемых сценариев;</w:t>
      </w:r>
    </w:p>
    <w:p>
      <w:pPr>
        <w:pStyle w:val="Heading2"/>
      </w:pPr>
      <w:r>
        <w:t xml:space="preserve">Подпункт 3</w:t>
      </w:r>
    </w:p>
    <w:p>
      <w:r>
        <w:t xml:space="preserve">3) по принимаемым допущениям и критериям оптимальности;</w:t>
      </w:r>
    </w:p>
    <w:p>
      <w:pPr>
        <w:pStyle w:val="Heading2"/>
      </w:pPr>
      <w:r>
        <w:t xml:space="preserve">Подпункт 4</w:t>
      </w:r>
    </w:p>
    <w:p>
      <w:r>
        <w:t xml:space="preserve">4) по оценке сценариев, формированию короткого списка и выбору рекомендуемого сценария.";</w:t>
      </w:r>
    </w:p>
    <w:p>
      <w:r>
        <w:t xml:space="preserve">пункт 16 изложить в новой редакции:</w:t>
      </w:r>
    </w:p>
    <w:p>
      <w:r>
        <w:t xml:space="preserve">"16. По итогам разработки проекта схемы местный исполнительный орган столицы, городов республиканского значения, районов и городов областного значения представляет проект схемы на утверждение в местный представительный орган столицы, городов республиканского значения, районов и городов областного значения.";</w:t>
      </w:r>
    </w:p>
    <w:p>
      <w:r>
        <w:t xml:space="preserve">пункт 17 изложить в новой редакции:</w:t>
      </w:r>
    </w:p>
    <w:p>
      <w:r>
        <w:t xml:space="preserve">"17. Местный представительный орган столицы, городов республиканского значения, районов и городов областного значения в течение 30 (тридцати) календарных дней с момента представления на утверждение рассматривает проект схемы. По итогам рассмотрения проекта схемы местный представительный орган столицы, городов республиканского значения, районов и городов областного значения принимает одно из следующих решений:</w:t>
      </w:r>
    </w:p>
    <w:p>
      <w:pPr>
        <w:pStyle w:val="Heading2"/>
      </w:pPr>
      <w:r>
        <w:t xml:space="preserve">Подпункт 1</w:t>
      </w:r>
    </w:p>
    <w:p>
      <w:r>
        <w:t xml:space="preserve">1) об утверждении схемы;</w:t>
      </w:r>
    </w:p>
    <w:p>
      <w:pPr>
        <w:pStyle w:val="Heading2"/>
      </w:pPr>
      <w:r>
        <w:t xml:space="preserve">Подпункт 2</w:t>
      </w:r>
    </w:p>
    <w:p>
      <w:r>
        <w:t xml:space="preserve">2) о возвращении проекта схемы на доработку местному исполнительному органу столицы, городов республиканского значения, районов и городов областного значения с указанием конкретных замечаний.";</w:t>
      </w:r>
    </w:p>
    <w:p>
      <w:r>
        <w:t xml:space="preserve">пункт 18 изложить в новой редакции:</w:t>
      </w:r>
    </w:p>
    <w:p>
      <w:r>
        <w:t xml:space="preserve">"18. При возвращении проекта схемы на доработку местный исполнительный орган столицы, городов республиканского значения, районов и городов областного значения в течение 30 (тридцати) календарных дней дорабатывает проект схемы и повторно направляет на рассмотрение местному представительному органу столицы, городов республиканского значения, районов и городов областного значения. Срок повторного рассмотрения проекта схемы, доработанной с учетом замечаний местного представительного органа столицы, городов республиканского значения, районов и городов областного значения составляет не более 15 (пятнадцати) календарных дней. При повторном рассмотрении местным представительным органом столицы, городов республиканского значения, районов и городов областного значения замечания и предложения представляются только по новым и (или) доработанным положениям проекта схемы.";</w:t>
      </w:r>
    </w:p>
    <w:p>
      <w:r>
        <w:t xml:space="preserve">пункт 136 изложить в новой редакции:</w:t>
      </w:r>
    </w:p>
    <w:p>
      <w:r>
        <w:t xml:space="preserve">"136. При наличии обоснования, по согласованию с местным исполнительным органом столицы, городов республиканского значения, районов и городов областного значения, для сравнительного анализа сценариев используются также другие дополнительные критерии.";</w:t>
      </w:r>
    </w:p>
    <w:p>
      <w:r>
        <w:t xml:space="preserve">пункт 148 изложить в новой редакции:</w:t>
      </w:r>
    </w:p>
    <w:p>
      <w:r>
        <w:t xml:space="preserve">"148. При рассмотрении программ социальной помощи для оплаты или возмещения расходов на оплату услуг по обеспечению тепловой энергией, предоставляемой местными исполнительными органами столицы, городов республиканского значения, районов и городов областного значения в соответствии с Законом, в качестве возможного направления бюджетного финансирования, используются примеры, приведенные в приложении 23 к настоящим Правилам с учетом объемов оказания жилищной помощи.";</w:t>
      </w:r>
    </w:p>
    <w:p>
      <w:r>
        <w:t xml:space="preserve">пункт 149 изложить в новой редакции:</w:t>
      </w:r>
    </w:p>
    <w:p>
      <w:r>
        <w:t xml:space="preserve">"149. Возможные параметры такого механизма (например, предельный среднемесячный среднедушевой доход и другие параметры, определяющие получателей социальной помощи и прочие параметры), подлежат согласованию с местным исполнительным органом столицы, городов республиканского значения, районов и городов областного значения.".</w:t>
      </w:r>
    </w:p>
    <w:p>
      <w:r>
        <w:t xml:space="preserve">|  | Приложение 1 к перечню |</w:t>
      </w:r>
    </w:p>
    <w:p>
      <w:r>
        <w:t xml:space="preserve">|---|---|</w:t>
      </w:r>
    </w:p>
    <w:p>
      <w:r>
        <w:t xml:space="preserve">|  | Приложение 1 к Правилам мониторинга состояния теплоэнергетики Форма, предназначенная для сбора административных данных |</w:t>
      </w:r>
    </w:p>
    <w:p>
      <w:r>
        <w:t xml:space="preserve">| Представляется: | в уполномоченный орган |  |  |  |  |  |  |</w:t>
      </w:r>
    </w:p>
    <w:p>
      <w:r>
        <w:t xml:space="preserve">|---|---|---|---|---|---|---|---|</w:t>
      </w:r>
    </w:p>
    <w:p>
      <w:r>
        <w:t xml:space="preserve">| Форма, предназначенная для сбора административных данных на безвозмездной основе размещена на интернет – ресурсе: | www.gov.kz |  |  |  |  |  |  |</w:t>
      </w:r>
    </w:p>
    <w:p>
      <w:r>
        <w:t xml:space="preserve">| Наименование административной формы: | Информация по производству тепловой энергии в централизованной или местной системе теплоснабжения |  |  |  |  |  |  |</w:t>
      </w:r>
    </w:p>
    <w:p>
      <w:r>
        <w:t xml:space="preserve">| Индекс формы, предназначенной для сбора административных данных на безвозмездной основе (краткое буквенно-цифровое выражение наименования формы): | 1-ПТЭ |  |  |  |  |  |  |</w:t>
      </w:r>
    </w:p>
    <w:p>
      <w:r>
        <w:t xml:space="preserve">| Периодичность: | 1 (один) раз в полугодие |  |  |  |  |  |  |</w:t>
      </w:r>
    </w:p>
    <w:p>
      <w:r>
        <w:t xml:space="preserve">| Отчетный период: | ____________ 20___ года |  |  |  |  |  |  |</w:t>
      </w:r>
    </w:p>
    <w:p>
      <w:r>
        <w:t xml:space="preserve">| Круг лиц, представляющих форму, предназначенную для сбора административных данных на безвозмездной основе: | теплопроизводящие субъекты, местные исполнительные органы столицы, областей, городов республиканского значения, районов и городов областного значения |  |  |  |  |  |  |</w:t>
      </w:r>
    </w:p>
    <w:p>
      <w:r>
        <w:t xml:space="preserve">| Срок представления формы, предназначенной для сбора административных данных на безвозмездной основе: | теплопроизводящие субъекты в местные исполнительные органы столицы, городов республиканского значения, районов и городов областного значения не позднее 5 числа января и июля года, следующего за отчетным; местные исполнительные органы районов, городов областного значения в местные исполнительные органы областей не позднее 15 числа января и июля года, следующего за отчетным; местные исполнительные органы столицы, областей, городов республиканского значения в уполномоченный орган 31 января и июля года, следующего за отчетным |  |  |  |  |  |  |</w:t>
      </w:r>
    </w:p>
    <w:p>
      <w:r>
        <w:t xml:space="preserve">| ИИН/БИН: |  |  |  |  |  |  |  |</w:t>
      </w:r>
    </w:p>
    <w:p>
      <w:r>
        <w:t xml:space="preserve">| Метод сбора: | на бумажном носителе или в электронном виде, посредством компьютеризированной системы |  |  |  |  |  |  |</w:t>
      </w:r>
    </w:p>
    <w:p>
      <w:r>
        <w:t xml:space="preserve">| № | Наименование столицы, области, городов республиканского значения, городов областного и районного значения, поселка и села; Код Классификатора административно-территориальных объектов | Наименование теплопроизводящего субъекта; БИН или ИИН | Форма собственности | Основное теплопроизводящее оборудование |  |  |  |</w:t>
      </w:r>
    </w:p>
    <w:p>
      <w:r>
        <w:t xml:space="preserve">| Состав и тип | Основной вид топлива | Резервный вид топлива | Износ, % |  |  |  |  |</w:t>
      </w:r>
    </w:p>
    <w:p>
      <w:r>
        <w:t xml:space="preserve">| 1 | 2 | 3 | 4 | 5 | 6 | 7 | 8 |</w:t>
      </w:r>
    </w:p>
    <w:p>
      <w:r>
        <w:t xml:space="preserve">| 1. |  |  |  |  |  |  |  |</w:t>
      </w:r>
    </w:p>
    <w:p>
      <w:r>
        <w:t xml:space="preserve">| 2.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Установленная мощность, МВт | Располагаемая мощность, МВт | Присоединенная мощность, МВт | Годовой объем выработки тепловой энергии, кВТч | Годовой объем выработки тепловой энергии в режиме когенераци, кВТч | Годовой объем выработки тепловой энергии от объектов, использующих возобновляемые источники энергии, источников-утилизаторов, источников-рекуператоров, котлов, работающих на биомассе, кВТч |</w:t>
      </w:r>
    </w:p>
    <w:p>
      <w:r>
        <w:t xml:space="preserve">|---|---|---|---|---|---|</w:t>
      </w:r>
    </w:p>
    <w:p>
      <w:r>
        <w:t xml:space="preserve">| 9 | 10 | 11 | 12 | 13 | 14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Годовой объем выработки тепловой энергии при утилизации избыточного тепла промышленных процессов, кВТч | Годовой объем выработки тепловой энергии, полученной при сжигании угля (за исключением когенерации), кВТч | Годовой объем выработки тепловой энергии, полученной от сжигания газа (за исключением когенерации), кВТч | Общие годовые выбросы при выработке тепловой энергии, тСО2экв/Гкал |  |  |  |</w:t>
      </w:r>
    </w:p>
    <w:p>
      <w:r>
        <w:t xml:space="preserve">|---|---|---|---|---|---|---|</w:t>
      </w:r>
    </w:p>
    <w:p>
      <w:r>
        <w:t xml:space="preserve">| Юридические лица | Физические лица |  |  |  |  |  |</w:t>
      </w:r>
    </w:p>
    <w:p>
      <w:r>
        <w:t xml:space="preserve">| государственные | негосударственные | многоэтажные жилые дома | Индивидуальные жилищное строительство |  |  |  |</w:t>
      </w:r>
    </w:p>
    <w:p>
      <w:r>
        <w:t xml:space="preserve">| 15 | 16 | 17 | 18 | 19 | 20 | 21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Удельные выбросы при выработке тепловой энергии, тСО2экв/Гкал | Годовой объем потребления топлива на выработку тепловой энергии, тонн условного топлива | Годовой объем использованных энергоресурсов (энергия на собственные нужды, топливо, доставка топлива) на выработку тепловой энергии, тонн условного топлива | Коэффициент использования установленной мощности, % | Коэффициент "чистой" выработки тепловой энергии, % |</w:t>
      </w:r>
    </w:p>
    <w:p>
      <w:r>
        <w:t xml:space="preserve">|---|---|---|---|---|</w:t>
      </w:r>
    </w:p>
    <w:p>
      <w:r>
        <w:t xml:space="preserve">| 22 | 23 | 24 | 25 | 26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Приведенный КПД источника, % | Годовой расход электрической энергии на собственные нужды, МВтч | Потребность в тепловой энергии, МВт | Вид системы теплоснабжения |</w:t>
      </w:r>
    </w:p>
    <w:p>
      <w:r>
        <w:t xml:space="preserve">|---|---|---|---|</w:t>
      </w:r>
    </w:p>
    <w:p>
      <w:r>
        <w:t xml:space="preserve">| 27 | 28 | 29 | 30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 Адрес ____________________________________________ Адрес электронной почты: __________________________ Телефон: _________________________________________ Исполнитель: ___________________________ __________ фамилия, имя и отчество (при его наличии), контактный телефон, подпись Руководитель или лицо, исполняющее его обязанности: _______________________________________ __________ фамилия, имя и отчество (при его наличии), контактный телефон, подпись Место для печати Примечание: Пояснение по заполнению формы, предназначенной для сбора административных данных, приведено в приложении к настоящей Форме.</w:t>
      </w:r>
    </w:p>
    <w:p>
      <w:r>
        <w:t xml:space="preserve">|  | Приложение к форме, предназначенной для сбора административных данных "Информация по производству тепловой энергии в централизованной или местной системе теплоснабжения"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 Пояснение по заполнению формы, предназначенной для сбора административных данных "Информация по производству тепловой энергии в централизованной или местной системе теплоснабжения" (форма 1-ПТЭ, 1 (один) раз в полугодие):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"Информация по производству тепловой энергии в централизованной или местной системе теплоснабжения"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следующим образом:</w:t>
      </w:r>
    </w:p>
    <w:p>
      <w:r>
        <w:t xml:space="preserve">в графе 1 указывается порядковый номер;</w:t>
      </w:r>
    </w:p>
    <w:p>
      <w:r>
        <w:t xml:space="preserve">в графе 2 указывается код Классификатора административно-территориальных объектов и наименование столицы, области, городов республиканского значения, городов областного и районного значения, поселка и села согласно Классификатору административно-территориальных объектов;</w:t>
      </w:r>
    </w:p>
    <w:p>
      <w:r>
        <w:t xml:space="preserve">в графе 3 указывается наименование теплопроизводящего субъекта, бизнес-идентификационный номер или идентификационный номер;</w:t>
      </w:r>
    </w:p>
    <w:p>
      <w:r>
        <w:t xml:space="preserve">в графе 4 указывается форма собственности (государственная собственность, частная собственность, квазигосудраственный сектор);</w:t>
      </w:r>
    </w:p>
    <w:p>
      <w:r>
        <w:t xml:space="preserve">в графе 5 указывается состав и тип основного теплопроизводящего оборудования (количество, марка котлоагрегата, мощность);</w:t>
      </w:r>
    </w:p>
    <w:p>
      <w:r>
        <w:t xml:space="preserve">в графе 6 указывается основной вид топлива, используемый основным теплопроизводящим оборудованием;</w:t>
      </w:r>
    </w:p>
    <w:p>
      <w:r>
        <w:t xml:space="preserve">в графе 7 указывается резервный вид топлива, используемый основным теплопроизводящим оборудованием;</w:t>
      </w:r>
    </w:p>
    <w:p>
      <w:r>
        <w:t xml:space="preserve">в графе 8 указывается износ основного теплопроизводящего оборудования (%);</w:t>
      </w:r>
    </w:p>
    <w:p>
      <w:r>
        <w:t xml:space="preserve">в графе 9 указывается установленная тепловая мощность субъекта теплоснабжения (МВт);</w:t>
      </w:r>
    </w:p>
    <w:p>
      <w:r>
        <w:t xml:space="preserve">в графе 10 указывается располагаемая тепловая мощность субъекта теплоснабжения (МВт);</w:t>
      </w:r>
    </w:p>
    <w:p>
      <w:r>
        <w:t xml:space="preserve">в графе 11 указывается присоединенная тепловая мощность субъекта теплоснабжения (МВт);</w:t>
      </w:r>
    </w:p>
    <w:p>
      <w:r>
        <w:t xml:space="preserve">в графе 12 указывается годовой объем выработки тепловой энергии (кВтч);</w:t>
      </w:r>
    </w:p>
    <w:p>
      <w:r>
        <w:t xml:space="preserve">в графе 13 указывается годовой объем выработки тепловой энергии в режиме когенерации (кВтч);</w:t>
      </w:r>
    </w:p>
    <w:p>
      <w:r>
        <w:t xml:space="preserve">в графе 14 указывается годовой объем выработки тепловой энергии от объектов, использующих возобновляемые источники энергии, источников-утилизаторов, источников-рекуператоров, котлов, работающих на биомассе (кВтч);</w:t>
      </w:r>
    </w:p>
    <w:p>
      <w:r>
        <w:t xml:space="preserve">в графе 15 указывается годовой объем выработки тепловой энергии при утилизации избыточного тепла промышленных процессов (кВтч);</w:t>
      </w:r>
    </w:p>
    <w:p>
      <w:r>
        <w:t xml:space="preserve">в графе 16 указывается годовой объем выработки тепловой энергии, полученной при сжигании угля (за исключением когенерации) (кВтч);</w:t>
      </w:r>
    </w:p>
    <w:p>
      <w:r>
        <w:t xml:space="preserve">в графе 17 указывается годовой объем выработки тепловой энергии, полученной от сжигания газа (за исключением когенерации) (кВтч);</w:t>
      </w:r>
    </w:p>
    <w:p>
      <w:r>
        <w:t xml:space="preserve">в графе 18 указываются общие годовые выбросы при выработке тепловой энергии для обеспечения теплом государственных юридических лиц (тСО2экв/Гкал);</w:t>
      </w:r>
    </w:p>
    <w:p>
      <w:r>
        <w:t xml:space="preserve">в графе 19 указываются общие годовые выбросы при выработке тепловой энергии для обеспечения теплом негосударственных юридических лиц (тСО2экв/Гкал);</w:t>
      </w:r>
    </w:p>
    <w:p>
      <w:r>
        <w:t xml:space="preserve">в графе 20 указываются общие годовые выбросы при выработке тепловой энергии для обеспечения теплом физических лиц, проживающих в многоэтажных жилых домах, (тСО2экв/Гкал);</w:t>
      </w:r>
    </w:p>
    <w:p>
      <w:r>
        <w:t xml:space="preserve">в графе 21 указываются общие годовые выбросы при выработке тепловой энергии для обеспечения теплом физических лиц, проживающих в индивидуальных жилых домах (тСО2экв/Гкал);</w:t>
      </w:r>
    </w:p>
    <w:p>
      <w:r>
        <w:t xml:space="preserve">в графе 22 указываются удельные выбросы при выработке тепловой энергии для обеспечения теплом (тСО2экв/Гкал);</w:t>
      </w:r>
    </w:p>
    <w:p>
      <w:r>
        <w:t xml:space="preserve">в графе 23 указывается годовой объем потребления топлива на выработку тепловой энергии (тонн условного топлива);</w:t>
      </w:r>
    </w:p>
    <w:p>
      <w:r>
        <w:t xml:space="preserve">в графе 24 указывается годовой объем использованных энергоресурсов (энергия на собственные нужды, топливо, доставка топлива) на выработку тепловой энергии (тонн условного топлива)</w:t>
      </w:r>
    </w:p>
    <w:p>
      <w:r>
        <w:t xml:space="preserve">в графе 25 указывается коэффициент использования установленной мощности (%);</w:t>
      </w:r>
    </w:p>
    <w:p>
      <w:r>
        <w:t xml:space="preserve">в графе 26 указывается коэффициент "чистой" выработки тепловой энергии (%);</w:t>
      </w:r>
    </w:p>
    <w:p>
      <w:r>
        <w:t xml:space="preserve">в графе 27 указывается приведенный КПД источника (%);</w:t>
      </w:r>
    </w:p>
    <w:p>
      <w:r>
        <w:t xml:space="preserve">в графе 28 указывается годовой расход электрической энергии на собственные нужды (МВтч);</w:t>
      </w:r>
    </w:p>
    <w:p>
      <w:r>
        <w:t xml:space="preserve">в графе 29 указывается потребность в тепловой энергии (МВт);</w:t>
      </w:r>
    </w:p>
    <w:p>
      <w:r>
        <w:t xml:space="preserve">в графе 30 указывается вид системы теплоснабжения (централизованная или местная) в которой работает теплопроизводящий субъект.</w:t>
      </w:r>
    </w:p>
    <w:p>
      <w:r>
        <w:t xml:space="preserve">|  | Приложение 2 к перечню |</w:t>
      </w:r>
    </w:p>
    <w:p>
      <w:r>
        <w:t xml:space="preserve">|---|---|</w:t>
      </w:r>
    </w:p>
    <w:p>
      <w:r>
        <w:t xml:space="preserve">|  | Приложение 2 к Правилам мониторинга состояния теплоэнергетики Форма, предназначенная для сбора административных данных |</w:t>
      </w:r>
    </w:p>
    <w:p>
      <w:r>
        <w:t xml:space="preserve">| Представляется: | в уполномоченный орган |  |  |  |  |  |</w:t>
      </w:r>
    </w:p>
    <w:p>
      <w:r>
        <w:t xml:space="preserve">|---|---|---|---|---|---|---|</w:t>
      </w:r>
    </w:p>
    <w:p>
      <w:r>
        <w:t xml:space="preserve">| Форма, предназначенная для сбора административных данных на безвозмездной основе размещена на интернет – ресурсе: | www.gov.kz |  |  |  |  |  |</w:t>
      </w:r>
    </w:p>
    <w:p>
      <w:r>
        <w:t xml:space="preserve">| Наименование административной формы: | Информация по транспортировке тепловой энергии в централизованной или местной системе теплоснабжения |  |  |  |  |  |</w:t>
      </w:r>
    </w:p>
    <w:p>
      <w:r>
        <w:t xml:space="preserve">| Индекс формы, предназначенной для сбора административных данных на безвозмездной основе (краткое буквенно-цифровое выражение наименования формы): | 1-ТТЭ |  |  |  |  |  |</w:t>
      </w:r>
    </w:p>
    <w:p>
      <w:r>
        <w:t xml:space="preserve">| Периодичность: | 1 (один) раз в полугодие |  |  |  |  |  |</w:t>
      </w:r>
    </w:p>
    <w:p>
      <w:r>
        <w:t xml:space="preserve">| Отчетный период: | ____________ 20___ года |  |  |  |  |  |</w:t>
      </w:r>
    </w:p>
    <w:p>
      <w:r>
        <w:t xml:space="preserve">| Круг лиц, представляющих форму, предназначенную для сбора административных данных на безвозмездной основе: | Теплотранспортирующие субъекты, теплопроизводящие субъекты (при наличии подключенного прямого потребителя), местные исполнительные органы столицы, областей, городов республиканского значения, районов и городов областного значения; |  |  |  |  |  |</w:t>
      </w:r>
    </w:p>
    <w:p>
      <w:r>
        <w:t xml:space="preserve">| Срок представления формы, предназначенной для сбора административных данных на безвозмездной основе: | Субъекты теплоснабжения в местные исполнительные органы столицы, городов республиканского значения, районов и городов областного значения, не позднее 5 числа января и июля года, следующего за отчетным; местные исполнительные органы районов, городов областного значения в местные исполнительные органы областей не позднее 15 числа января и июля года, следующего за отчетным; местные исполнительные органы столицы, областей и городов республиканского значения в уполномоченный орган 31 января и июля года, следующего за отчетным"; |  |  |  |  |  |</w:t>
      </w:r>
    </w:p>
    <w:p>
      <w:r>
        <w:t xml:space="preserve">| ИИН/БИН: |  |  |  |  |  |  |</w:t>
      </w:r>
    </w:p>
    <w:p>
      <w:r>
        <w:t xml:space="preserve">| Метод сбора: | на бумажном носителе или в электронном виде, посредством компьютеризированной системы |  |  |  |  |  |</w:t>
      </w:r>
    </w:p>
    <w:p>
      <w:r>
        <w:t xml:space="preserve">| № | Наименование столицы, области, городов республиканского значения, городов областного и районного значения, поселка и села; Код Классификатора административно-территориальных объектов | Наименование субъекта теплоснабжения; БИН или ИИН | Форма собственности | Протяженность тепловых сетей в двухтрубном исчислении, км |  |  |</w:t>
      </w:r>
    </w:p>
    <w:p>
      <w:r>
        <w:t xml:space="preserve">| Всего | Магистральные | Распреде лительные |  |  |  |  |</w:t>
      </w:r>
    </w:p>
    <w:p>
      <w:r>
        <w:t xml:space="preserve">| 1 | 2 | 3 | 4 | 5 | 6 | 7 |</w:t>
      </w:r>
    </w:p>
    <w:p>
      <w:r>
        <w:t xml:space="preserve">| 1. |  |  |  |  |  |  |</w:t>
      </w:r>
    </w:p>
    <w:p>
      <w:r>
        <w:t xml:space="preserve">| 2.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 том числе с разделением по диаметрам, км |  |  |  |  |  |  |  |</w:t>
      </w:r>
    </w:p>
    <w:p>
      <w:r>
        <w:t xml:space="preserve">|---|---|---|---|---|---|---|---|</w:t>
      </w:r>
    </w:p>
    <w:p>
      <w:r>
        <w:t xml:space="preserve">| до 200 мм | износ, % | от 201 до 400 мм | износ, % | от 401 до 600 мм | износ, % | свыше 600 мм | износ, % |</w:t>
      </w:r>
    </w:p>
    <w:p>
      <w:r>
        <w:t xml:space="preserve">| 8 | 9 | 10 | 11 | 12 | 13 | 14 | 15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Средний износ, % | Годовой объем транспортируемой тепловой энергии, кВтч | Годовое фактическое потребление электрической энергии, связанное с транспортировкой тепловой энергии, кВтч | Удельное потребление электрической энергии, связанное с транспортировкой тепловой энергии, кВтч/Гкал | Годовые потери тепловой энергии, связанные с транспортировкой тепловой энергии, МВт |</w:t>
      </w:r>
    </w:p>
    <w:p>
      <w:r>
        <w:t xml:space="preserve">|---|---|---|---|---|</w:t>
      </w:r>
    </w:p>
    <w:p>
      <w:r>
        <w:t xml:space="preserve">| 16 | 17 | 18 | 19 | 20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Удельные потери тепловой энергии, связанные с транспортировкой тепловой энергии, % | Удельные потери тепловой энергии, %; | Уровень нормативных потерь тепловой энергии, % | Фактический уровень потерь тепловой энергии, % | Приведенный КПД тепловой сети, % |</w:t>
      </w:r>
    </w:p>
    <w:p>
      <w:r>
        <w:t xml:space="preserve">|---|---|---|---|---|</w:t>
      </w:r>
    </w:p>
    <w:p>
      <w:r>
        <w:t xml:space="preserve">| 21 | 22 | 23 | 24 | 25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Общая тепловая нагрузка сетей, МВт/час | Общее количество зданий и сооружений, потребляющих тепловую энергию, единиц | Охват централизованным или местным теплоснабжением | Количество зданий и сооружений, желающих подключиться к централизованной или местной системе теплоснабжения, единиц | Вид системы теплоснабжения |  |</w:t>
      </w:r>
    </w:p>
    <w:p>
      <w:r>
        <w:t xml:space="preserve">|---|---|---|---|---|---|</w:t>
      </w:r>
    </w:p>
    <w:p>
      <w:r>
        <w:t xml:space="preserve">| % | Количество зданий и сооружений, потребляющих тепловую энергию, единиц |  |  |  |  |</w:t>
      </w:r>
    </w:p>
    <w:p>
      <w:r>
        <w:t xml:space="preserve">| 26 | 27 | 28 | 29 | 30 | 31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 Адрес _____________________________________________ Адрес электронной почты: ___________________________ Телефон: __________________________________________ Исполнитель: ____________________________ __________ фамилия, имя и отчество (при его наличии), контактный телефон, подпись Руководитель или лицо, исполняющее его обязанности: ________________________________________ __________ фамилия, имя и отчество (при его наличии), контактный телефон, подпись Место для печати Примечание: Пояснение по заполнению формы, предназначенной для сбора административных данных, приведено в приложении к настоящей Форме.</w:t>
      </w:r>
    </w:p>
    <w:p>
      <w:r>
        <w:t xml:space="preserve">|  | Приложение к форме, предназначенной для сбора административных данных "Информация по производству тепловой энергии в централизованной или местной системе теплоснабжения"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в Пояснение по заполнению формы, предназначенной для сбора административных данных "Информация по производству тепловой энергии в централизованной или местной системе теплоснабжения" (форма 1-ПТЭ, 1 (один) раз в полугодие):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"Информация по транспортировке тепловой энергии в централизованной или местной системе теплоснабжения"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следующим образом:</w:t>
      </w:r>
    </w:p>
    <w:p>
      <w:r>
        <w:t xml:space="preserve">в графе 1 указывается порядковый номер;</w:t>
      </w:r>
    </w:p>
    <w:p>
      <w:r>
        <w:t xml:space="preserve">в графе 2 указывается код Классификатора административно-территориальных объектов и наименование столицы, области, городов республиканского значения, городов областного и районного значения, поселка и села согласно Классификатору административно-территориальных объектов;</w:t>
      </w:r>
    </w:p>
    <w:p>
      <w:r>
        <w:t xml:space="preserve">в графе 3 указывается наименование субъекта теплоснабжения, бизнес-идентификационный номер или идентификационный номер;</w:t>
      </w:r>
    </w:p>
    <w:p>
      <w:r>
        <w:t xml:space="preserve">в графе 4 указывается форма собственности (государственная собственность, частная собственность, квазигосудраственный сектор);</w:t>
      </w:r>
    </w:p>
    <w:p>
      <w:r>
        <w:t xml:space="preserve">в графе 5 указывается общая протяженность тепловых сетей в двухтрубном исчислении (км);</w:t>
      </w:r>
    </w:p>
    <w:p>
      <w:r>
        <w:t xml:space="preserve">в графе 6 указывается общая протяженность магистральных тепловых сетей в двухтрубном исчислении (км);</w:t>
      </w:r>
    </w:p>
    <w:p>
      <w:r>
        <w:t xml:space="preserve">в графе 7 указывается общая протяженность распределительных тепловых сетей в двухтрубном исчислении (км);</w:t>
      </w:r>
    </w:p>
    <w:p>
      <w:r>
        <w:t xml:space="preserve">в графе 8 указывается общая протяженность тепловых сетей в двухтрубном исчислении диаметром до 200 мм (км);</w:t>
      </w:r>
    </w:p>
    <w:p>
      <w:r>
        <w:t xml:space="preserve">в графе 9 указывается износ тепловых сетей диаметром до 200 мм (%);</w:t>
      </w:r>
    </w:p>
    <w:p>
      <w:r>
        <w:t xml:space="preserve">в графе 10 указывается общая протяженность тепловых сетей в двухтрубном исчислении диаметром от 201 до 400 мм (км);</w:t>
      </w:r>
    </w:p>
    <w:p>
      <w:r>
        <w:t xml:space="preserve">в графе 11 указывается износ тепловых сетей диаметром от 201 до 400 мм (%);</w:t>
      </w:r>
    </w:p>
    <w:p>
      <w:r>
        <w:t xml:space="preserve">в графе 12 указывается общая протяженность тепловых сетей в двухтрубном исчислении диаметром от 401 до 600 мм (км);</w:t>
      </w:r>
    </w:p>
    <w:p>
      <w:r>
        <w:t xml:space="preserve">в графе 13 указывается износ тепловых сетей диаметром от 401 до 600 мм (%);</w:t>
      </w:r>
    </w:p>
    <w:p>
      <w:r>
        <w:t xml:space="preserve">в графе 14 указывается общая протяженность тепловых сетей в двухтрубном исчислении диаметром свыше 600 мм (км);</w:t>
      </w:r>
    </w:p>
    <w:p>
      <w:r>
        <w:t xml:space="preserve">в графе 15 указывается износ тепловых сетей диаметром свыше 600 мм (%);</w:t>
      </w:r>
    </w:p>
    <w:p>
      <w:r>
        <w:t xml:space="preserve">в графе 16 указывается средний износ тепловых сетей (%);</w:t>
      </w:r>
    </w:p>
    <w:p>
      <w:r>
        <w:t xml:space="preserve">в графе 17 указывается годовой объем транспортируемой тепловой энергии (кВтч);</w:t>
      </w:r>
    </w:p>
    <w:p>
      <w:r>
        <w:t xml:space="preserve">в графе 18 указываются годовое фактическое потребление электрической энергии, связанное с транспортировкой тепловой энергии (кВтч);</w:t>
      </w:r>
    </w:p>
    <w:p>
      <w:r>
        <w:t xml:space="preserve">в графе 19 указываются удельное потребление электрической энергии, связанное с транспортировкой тепловой энергии (кВтч/Гкал);</w:t>
      </w:r>
    </w:p>
    <w:p>
      <w:r>
        <w:t xml:space="preserve">в графе 20 указываются годовые потери тепловой энергии, связанные с транспортировкой тепловой энергии (МВт);</w:t>
      </w:r>
    </w:p>
    <w:p>
      <w:r>
        <w:t xml:space="preserve">в графе 21 указываются удельные потери тепловой энергии, связанные с транспортировкой тепловой энергии (%);</w:t>
      </w:r>
    </w:p>
    <w:p>
      <w:r>
        <w:t xml:space="preserve">в графе 22 указываются удельные потери тепловой энергии (%);</w:t>
      </w:r>
    </w:p>
    <w:p>
      <w:r>
        <w:t xml:space="preserve">в графе 23 указывается уровень нормативных потерь тепловой энергии (%);</w:t>
      </w:r>
    </w:p>
    <w:p>
      <w:r>
        <w:t xml:space="preserve">в графе 24 указывается фактический уровень потерь тепловой энергии (%);</w:t>
      </w:r>
    </w:p>
    <w:p>
      <w:r>
        <w:t xml:space="preserve">в графе 25 указывается приведенный КПД тепловой сети (%);</w:t>
      </w:r>
    </w:p>
    <w:p>
      <w:r>
        <w:t xml:space="preserve">в графе 26 указывается общая тепловая нагрузка сетей (МВт/час);</w:t>
      </w:r>
    </w:p>
    <w:p>
      <w:r>
        <w:t xml:space="preserve">в графе 27 указывается общее количество зданий и сооружений, потребляющих тепловую энергию (единиц);</w:t>
      </w:r>
    </w:p>
    <w:p>
      <w:r>
        <w:t xml:space="preserve">в графе 28 указывается охват централизованным теплоснабжением (%);</w:t>
      </w:r>
    </w:p>
    <w:p>
      <w:r>
        <w:t xml:space="preserve">в графе 29 указывается количество зданий и сооружений, потребляющих тепловую энергию, в зоне централизованного теплоснабжения (единиц);</w:t>
      </w:r>
    </w:p>
    <w:p>
      <w:r>
        <w:t xml:space="preserve">в графе 30 указывается количество зданий и сооружений, желающих подключиться к централизованной системе теплоснабжения (единиц);</w:t>
      </w:r>
    </w:p>
    <w:p>
      <w:r>
        <w:t xml:space="preserve">в графе 31 указывается вид системы теплоснабжения (централизованная или местная) в которой работает субъект теплоснабжения.</w:t>
      </w:r>
    </w:p>
    <w:p>
      <w:r>
        <w:t xml:space="preserve">|  | Приложение 3 к перечню Приложение 3 к Правилам мониторинга состояние теплоэнергетики Форма, предназначенная для сбора административных данных |</w:t>
      </w:r>
    </w:p>
    <w:p>
      <w:r>
        <w:t xml:space="preserve">|---|---|</w:t>
      </w:r>
    </w:p>
    <w:p>
      <w:r>
        <w:t xml:space="preserve">| Представляется: | в уполномоченный орган |  |  |  |  |  |  |  |  |  |  |  |  |</w:t>
      </w:r>
    </w:p>
    <w:p>
      <w:r>
        <w:t xml:space="preserve">|---|---|---|---|---|---|---|---|---|---|---|---|---|---|</w:t>
      </w:r>
    </w:p>
    <w:p>
      <w:r>
        <w:t xml:space="preserve">| Форма, предназначенная для сбора административных данных на безвозмездной основе размещена на интернет – ресурсе: | www.​gov.​kz |  |  |  |  |  |  |  |  |  |  |  |  |</w:t>
      </w:r>
    </w:p>
    <w:p>
      <w:r>
        <w:t xml:space="preserve">| Наименование административной формы: | Информация по потреблению тепловой энергии, состав теплопотребляющих установок, наличие и (или) отсутствие приборов учета и состава оборудования тепловых пунктов, а также принятых мерах по энергоэффективности (установка автоматизированных тепловых пунктов, приборов коммерческого учета, модернизация теплопотребляющих установок |  |  |  |  |  |  |  |  |  |  |  |  |</w:t>
      </w:r>
    </w:p>
    <w:p>
      <w:r>
        <w:t xml:space="preserve">| Индекс формы, предназначенной для сбора административных данных на безвозмездной основе (краткое буквенно-цифровое выражение наименования формы): | 1-ПТТЭ |  |  |  |  |  |  |  |  |  |  |  |  |</w:t>
      </w:r>
    </w:p>
    <w:p>
      <w:r>
        <w:t xml:space="preserve">| Периодичность: | 1 (один) раз в год |  |  |  |  |  |  |  |  |  |  |  |  |</w:t>
      </w:r>
    </w:p>
    <w:p>
      <w:r>
        <w:t xml:space="preserve">| Отчетный период: | ____________ 20___ года |  |  |  |  |  |  |  |  |  |  |  |  |</w:t>
      </w:r>
    </w:p>
    <w:p>
      <w:r>
        <w:t xml:space="preserve">| Круг лиц, представляющих форму, предназначенную для сбора административных данных на безвозмездной основе: | Потребители потребляющие тепловую энергию не для бытовых нужд, местные исполнительные органы столицы, областей, городов республиканского значения, районов и городов областного значения |  |  |  |  |  |  |  |  |  |  |  |  |</w:t>
      </w:r>
    </w:p>
    <w:p>
      <w:r>
        <w:t xml:space="preserve">| Срок представления формы, предназначенной для сбора административных данных на безвозмездной основе: | Потребители потребляющие тепловую энергию не для бытовых нужд в местные исполнительные органы не позднее 15 числа мая года, следующего за отчетным; Местные исполнительные органы районов, городов областного значения в местные исполнительные органы областей не позднее 1 числа июня года, следующего за отчетным; Местные исполнительные органы столицы, областей и городов республиканского значения в уполномоченный орган не позднее 15 июня года, следующего за отчетным |  |  |  |  |  |  |  |  |  |  |  |  |</w:t>
      </w:r>
    </w:p>
    <w:p>
      <w:r>
        <w:t xml:space="preserve">| ИИН/БИН: |  |  |  |  |  |  |  |  |  |  |  |  |  |</w:t>
      </w:r>
    </w:p>
    <w:p>
      <w:r>
        <w:t xml:space="preserve">| Метод сбора: | на бумажном носителе или в электронном виде, посредством компьютеризированной системы |  |  |  |  |  |  |  |  |  |  |  |  |</w:t>
      </w:r>
    </w:p>
    <w:p>
      <w:r>
        <w:t xml:space="preserve">| № | Наименование столицы, области, городов республиканского значения, городов областного и районного значения, поселка и села; Код Классификатора административно-территориальных объектов | Наименование потребителей, потребляющих тепловую энергию не для бытовых нужд; БИН или ИИН | Потребление тепловой энергии, кВт |  |  |  |  |  |  |  |  |  |  |</w:t>
      </w:r>
    </w:p>
    <w:p>
      <w:r>
        <w:t xml:space="preserve">|  | июнь | июль | август | сентябрь | октябрь | ноябрь | декабрь | январь | февраль | март | апрель | май |  |</w:t>
      </w:r>
    </w:p>
    <w:p>
      <w:r>
        <w:t xml:space="preserve">| 1 | 2 | 3 | 4 |  |  |  |  |  |  |  |  |  |  |</w:t>
      </w:r>
    </w:p>
    <w:p>
      <w:r>
        <w:t xml:space="preserve">| 1. |  |  |  |  |  |  |  |  |  |  |  |  |  |</w:t>
      </w:r>
    </w:p>
    <w:p>
      <w:r>
        <w:t xml:space="preserve">| 2. |  |  | 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Состав теплопотребляющих установок | Наличие и (или) отсутствие приборов учета | Состав оборудования тепловых пунктов | Принятые меры по энергоэффективности (установка автоматизированных тепловых пунктов, приборов коммерческого учета, модернизация теплопотребляющих установок) | Вид системы теплоснабжения |</w:t>
      </w:r>
    </w:p>
    <w:p>
      <w:r>
        <w:t xml:space="preserve">|---|---|---|---|---|</w:t>
      </w:r>
    </w:p>
    <w:p>
      <w:r>
        <w:t xml:space="preserve">| 5 | 6 | 7 | 8 | 9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______________________________________ Адрес _____________________________________________ Адрес электронной почты: ___________________________ Телефон: __________________________________________ Исполнитель: ____________________________ __________ фамилия, имя и отчество (при его наличии), контактный телефон, подпись Руководитель или лицо, исполняющее его обязанности: ________________________________________ __________ фамилия, имя и отчество (при его наличии), контактный телефон, подпись Место для печати Примечание: Пояснение по заполнению формы, предназначенной для сбора административных данных, приведено в приложении к настоящей Форме.</w:t>
      </w:r>
    </w:p>
    <w:p>
      <w:r>
        <w:t xml:space="preserve">|  | Приложение к форме, предназначенной для сбора административных данных "Информация по потреблению тепловой энергии, состав теплопотребляющих установок, наличие и (или) отсутствие приборов учета и состава оборудования тепловых пунктов, а также принятых мерах по энергоэффективности (установка автоматизированных тепловых пунктов, приборов коммерческого учета, модернизация теплопотребляющих установок)"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Пояснение по заполнению формы, предназначенной для сбора административных данных "Информация по потреблению тепловой энергии, состав теплопотребляющих установок, наличие и (или) отсутствие приборов учета и состава оборудования тепловых пунктов, а также принятых мерах по энергоэффективности (установка автоматизированных тепловых пунктов, приборов коммерческого учета, модернизация теплопотребляющих установок)"</w:t>
      </w:r>
    </w:p>
    <w:p>
      <w:pPr>
        <w:pStyle w:val="Heading2"/>
      </w:pPr>
      <w:r>
        <w:t xml:space="preserve">Текст</w:t>
      </w:r>
    </w:p>
    <w:p>
      <w:r>
        <w:t xml:space="preserve">(форма 1-ПТТЭ, 1 (один) раз в год)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"Информация по потреблению тепловой энергии, состав теплопотребляющих установок, наличие и (или) отсутствие приборов учета и состава оборудования тепловых пунктов, а также принятых мерах по энергоэффективности (установка автоматизированных тепловых пунктов, приборов коммерческого учета, модернизация теплопотребляющих установок"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следующим образом:</w:t>
      </w:r>
    </w:p>
    <w:p>
      <w:r>
        <w:t xml:space="preserve">в графе 1 указывается порядковый номер;</w:t>
      </w:r>
    </w:p>
    <w:p>
      <w:r>
        <w:t xml:space="preserve">в графе 2 указывается код Классификатора административно-территориальных объектов и наименование столицы, области, городов республиканского значения, городов областного и районного значения, поселка и села согласно Классификатору административно-территориальных объектов;</w:t>
      </w:r>
    </w:p>
    <w:p>
      <w:r>
        <w:t xml:space="preserve">в графе 3 указывается наименование потребителя, потребляющего тепловую энергию не для бытовых нужд, бизнес-идентификационный номер или идентификационный номер;</w:t>
      </w:r>
    </w:p>
    <w:p>
      <w:r>
        <w:t xml:space="preserve">в графе 4 указывается количество потребленной тепловой энергии в кВт, с разделением по каждому месяцу отчетного периода (в случае отсутствия у потребителя приборов коммерческого учета, указываются нормативные показатели потребления тепловой энергии в кВт);</w:t>
      </w:r>
    </w:p>
    <w:p>
      <w:r>
        <w:t xml:space="preserve">в графе 5 указывается состав теплопотребляющих установок потребителя, потребляющего тепловую энергию не для бытовых нужд;</w:t>
      </w:r>
    </w:p>
    <w:p>
      <w:r>
        <w:t xml:space="preserve">в графе 6 указывается наличие и (или) отсутствие приборов учета тепловой энергии у потребителя, потребляющего тепловую энергию не для бытовых нужд;</w:t>
      </w:r>
    </w:p>
    <w:p>
      <w:r>
        <w:t xml:space="preserve">в графе 7 указывается состав оборудования тепловых пунктов потребителя, потребляющего тепловую энергию не для бытовых нужд;</w:t>
      </w:r>
    </w:p>
    <w:p>
      <w:r>
        <w:t xml:space="preserve">в графе 8 указывается принятые меры по энергоэффективности (установка автоматизированных тепловых пунктов, приборов коммерческого учета, модернизация теплопотребляющих установок) потребителем, потребляющим тепловую энергию не для бытовых нужд;</w:t>
      </w:r>
    </w:p>
    <w:p>
      <w:r>
        <w:t xml:space="preserve">в графе 9 указывается вид системы теплоснабжения (централизованная или местная) в которой работает субъект теплоснабжения.</w:t>
      </w:r>
    </w:p>
    <w:p>
      <w:r>
        <w:t xml:space="preserve">|  | Форма, Приложение 4 к Правилам мониторинга состояния теплоэнергетики предназначенная для сбора административных |</w:t>
      </w:r>
    </w:p>
    <w:p>
      <w:r>
        <w:t xml:space="preserve">|---|---|</w:t>
      </w:r>
    </w:p>
    <w:p>
      <w:r>
        <w:t xml:space="preserve">|  | данных |</w:t>
      </w:r>
    </w:p>
    <w:p>
      <w:r>
        <w:t xml:space="preserve">| Представляется: | в уполномоченный орган |  |  |  |</w:t>
      </w:r>
    </w:p>
    <w:p>
      <w:r>
        <w:t xml:space="preserve">|---|---|---|---|---|</w:t>
      </w:r>
    </w:p>
    <w:p>
      <w:r>
        <w:t xml:space="preserve">| Форма, предназначенная для сбора административных данных на безвозмездной основе размещена на интернет – ресурсе: | www.​gov.​kz |  |  |  |</w:t>
      </w:r>
    </w:p>
    <w:p>
      <w:r>
        <w:t xml:space="preserve">| Наименование административной формы: | Информация о количестве использованного топлива теплопроизводящим субъектом во время отопительного сезона в централизованных или местных систем теплоснабжения |  |  |  |</w:t>
      </w:r>
    </w:p>
    <w:p>
      <w:r>
        <w:t xml:space="preserve">| Индекс формы, предназначенной для сбора административных данных на безвозмездной основе (краткое буквенно-цифровое выражение наименования формы): | 1-КИТ |  |  |  |</w:t>
      </w:r>
    </w:p>
    <w:p>
      <w:r>
        <w:t xml:space="preserve">| Периодичность: | 1 (один) раз в год |  |  |  |</w:t>
      </w:r>
    </w:p>
    <w:p>
      <w:r>
        <w:t xml:space="preserve">| Отчетный период: | ____________ 20___ года |  |  |  |</w:t>
      </w:r>
    </w:p>
    <w:p>
      <w:r>
        <w:t xml:space="preserve">| Круг лиц, представляющих форму, предназначенную для сбора административных данных на безвозмездной основе: | Теплопроизводящие субъекты, местные исполнительные органы столицы, областей, городов республиканского значения, районов и городов областного значения |  |  |  |</w:t>
      </w:r>
    </w:p>
    <w:p>
      <w:r>
        <w:t xml:space="preserve">| Срок представления формы, предназначенной для сбора административных данных на безвозмездной основе: | Теплопроизводящие субъекты в местные исполнительные органы не позднее 15 числа мая года, следующего за отчетным; Местные исполнительные органы районов, городов областного значения в местные исполнительные органы областей не позднее 1 числа июня года, следующего за отчетным; Местные исполнительные органы столицы, областей, городов республиканского значения в уполномоченный орган не позднее 15 июня года, следующего за отчетным |  |  |  |</w:t>
      </w:r>
    </w:p>
    <w:p>
      <w:r>
        <w:t xml:space="preserve">| ИИН/БИН: |  |  |  |  |</w:t>
      </w:r>
    </w:p>
    <w:p>
      <w:r>
        <w:t xml:space="preserve">| Метод сбора: | на бумажном носителе или в электронном виде, посредством компьютеризированной системы |  |  |  |</w:t>
      </w:r>
    </w:p>
    <w:p>
      <w:r>
        <w:t xml:space="preserve">| № | Наименование столицы, области, городов республиканского значения, городов областного и районного значения, поселка и села; Код Классификатора административно-территориальных объектов | Наименование теплопроизводящего субъекта; БИН или ИИН | Период отопительного сезона |  |</w:t>
      </w:r>
    </w:p>
    <w:p>
      <w:r>
        <w:t xml:space="preserve">| Дата начала ДД.ММ.ГГГГ | Дата завершения ДД.ММ.ГГГГ |  |  |  |</w:t>
      </w:r>
    </w:p>
    <w:p>
      <w:r>
        <w:t xml:space="preserve">| 1 | 2 | 3 | 4 |  |</w:t>
      </w:r>
    </w:p>
    <w:p>
      <w:r>
        <w:t xml:space="preserve">| 1. |  |  |  |  |</w:t>
      </w:r>
    </w:p>
    <w:p>
      <w:r>
        <w:t xml:space="preserve">| 2. |  |  |  |  |</w:t>
      </w:r>
    </w:p>
    <w:p>
      <w:pPr>
        <w:pStyle w:val="Heading2"/>
      </w:pPr>
      <w:r>
        <w:t xml:space="preserve">Текст</w:t>
      </w:r>
    </w:p>
    <w:p>
      <w:r>
        <w:t xml:space="preserve">продолжение таблицы</w:t>
      </w:r>
    </w:p>
    <w:p>
      <w:r>
        <w:t xml:space="preserve">| Вид основного топлива (уголь, мазут, газ и (или) другое) | Марка основного топлива | Вид резервного топлива (уголь, мазут, газ и (или) другое) | Марка резервного топлива | Вид системы теплоснабжения |</w:t>
      </w:r>
    </w:p>
    <w:p>
      <w:r>
        <w:t xml:space="preserve">|---|---|---|---|---|</w:t>
      </w:r>
    </w:p>
    <w:p>
      <w:r>
        <w:t xml:space="preserve">| 5 | 6 | 7 | 8 | 9 |</w:t>
      </w:r>
    </w:p>
    <w:p>
      <w:pPr>
        <w:pStyle w:val="Heading2"/>
      </w:pPr>
      <w:r>
        <w:t xml:space="preserve">Текст</w:t>
      </w:r>
    </w:p>
    <w:p>
      <w:r>
        <w:t xml:space="preserve">Наименование _____________________________________ Адрес ____________________________________________ Адрес электронной почты: __________________________ Телефон: _________________________________________ Исполнитель: ___________________________ __________ фамилия, имя и отчество (при его наличии), контактный телефон, подпись Руководитель или лицо, исполняющее его обязанности: ________________________________________ __________ фамилия, имя и отчество (при его наличии), контактный телефон, подпись Место для печати Примечание: Пояснение по заполнению формы, предназначенной</w:t>
      </w:r>
    </w:p>
    <w:p>
      <w:pPr>
        <w:pStyle w:val="Heading2"/>
      </w:pPr>
      <w:r>
        <w:t xml:space="preserve">Текст</w:t>
      </w:r>
    </w:p>
    <w:p>
      <w:r>
        <w:t xml:space="preserve">для сбора административных данных, приведено в приложении к настоящей Форме.</w:t>
      </w:r>
    </w:p>
    <w:p>
      <w:r>
        <w:t xml:space="preserve">|  | Приложение к форме, предназначенной для сбора административных данных "Информация о количестве использованного топлива теплопроизводящим субъектом во время отопительного сезона в централизованных или местных систем теплоснабжения"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Пояснение по заполнению формы, предназначенной для сбора административных данных "Информация о количестве использованного топлива теплопроизводящим субъектом во время отопительного сезона в централизованных или местных системах теплоснабжения" (форма 1-КИТ, 1 (один) раз в год) (форма 1-ПТТЭ, 1 (один) раз в год)</w:t>
      </w:r>
    </w:p>
    <w:p>
      <w:pPr>
        <w:pStyle w:val="Heading2"/>
      </w:pPr>
      <w:r>
        <w:t xml:space="preserve">Пункт 1</w:t>
      </w:r>
    </w:p>
    <w:p>
      <w:r>
        <w:t xml:space="preserve">1. Настоящее пояснение определяет единые требования по заполнению формы, предназначенной для сбора административных данных "Информация о количестве использованного топлива теплопроизводящим субъектом во время отопительного сезона в централизованных или местных систем теплоснабжения" (далее – Форма).</w:t>
      </w:r>
    </w:p>
    <w:p>
      <w:pPr>
        <w:pStyle w:val="Heading2"/>
      </w:pPr>
      <w:r>
        <w:t xml:space="preserve">Пункт 2</w:t>
      </w:r>
    </w:p>
    <w:p>
      <w:r>
        <w:t xml:space="preserve">2. Форма заполняется следующим образом:</w:t>
      </w:r>
    </w:p>
    <w:p>
      <w:r>
        <w:t xml:space="preserve">в графе 1 указывается порядковый номер;</w:t>
      </w:r>
    </w:p>
    <w:p>
      <w:r>
        <w:t xml:space="preserve">в графе 2 указывается код Классификатора административно-территориальных объектов и наименование столицы, области, городов республиканского значения, городов областного и районного значения, поселка и села согласно Классификатору административно-территориальных объектов;</w:t>
      </w:r>
    </w:p>
    <w:p>
      <w:r>
        <w:t xml:space="preserve">в графе 3 указывается наименование теплопроизводящего субъекта, бизнес-идентификационный номер или идентификационный номер;</w:t>
      </w:r>
    </w:p>
    <w:p>
      <w:r>
        <w:t xml:space="preserve">в графе 4 указывается дата начала и завершения отопительного сезона, в формате день, месяц и год (ДД.ММ.ГГГГ.).</w:t>
      </w:r>
    </w:p>
    <w:p>
      <w:r>
        <w:t xml:space="preserve">в графе 5 указывается вид основного топлива (уголь, мазут, газ и (или) другое) использованного теплопроизводящим субъектом во время отопительного сезона;</w:t>
      </w:r>
    </w:p>
    <w:p>
      <w:r>
        <w:t xml:space="preserve">в графе 6 указывается марка основного топлива, использованного теплопроизводящим субъектом во время отопительного сезона;</w:t>
      </w:r>
    </w:p>
    <w:p>
      <w:r>
        <w:t xml:space="preserve">в графе 7 указывается вид резервного топлива (уголь, мазут, газ и (или) другое) использованного теплопроизводящим субъектом во время отопительного сезона;</w:t>
      </w:r>
    </w:p>
    <w:p>
      <w:r>
        <w:t xml:space="preserve">в графе 8 указывается марка резервного топлива, использованного теплопроизводящим субъектом во время отопительного сезона;</w:t>
      </w:r>
    </w:p>
    <w:p>
      <w:r>
        <w:t xml:space="preserve">в графе 9 указывается вид системы теплоснабжения (централизованная или местная) в которой работает субъект теплоснабжения.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