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финансов Республики Казахстан от 29 сентября 2023 года № 1033 "Об утверждении Правил использования и мониторинга средств Специального государственного фонда"</w:t>
      </w:r>
    </w:p>
    <w:p>
      <w:r>
        <w:t xml:space="preserve">Приказ, Изменения. Министерство финансов Республики Казахстан. от 24.06.2026. № 227165. редакция от 24.06.2026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3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финансов Республики Казахстан от 29 сентября 2023 года № 1033 "Об утверждении Правил использования и мониторинга средств Специального государственного фонда" (зарегистрирован в Реестре государственной регистрации нормативных правовых актов под № 33486) следующие изменения:</w:t>
      </w:r>
    </w:p>
    <w:p>
      <w:r>
        <w:t xml:space="preserve">в Правилах использования и мониторинга средств Специального государственного фонда, утвержденных указанным приказом:</w:t>
      </w:r>
    </w:p>
    <w:p>
      <w:r>
        <w:t xml:space="preserve">пункт 4 изложить в следующей редакции:</w:t>
      </w:r>
    </w:p>
    <w:p>
      <w:r>
        <w:t xml:space="preserve">"4. Операции по поступлениям средств Фонда учитываются в соответствии с Единой бюджетной классификацией Республики Казахстан, утвержденной приказом Министра финансов Республики Казахстан от 4 апреля 2025 года № 151 "Некоторые вопросы Единой бюджетной классификации Республики Казахстан.";</w:t>
      </w:r>
    </w:p>
    <w:p>
      <w:r>
        <w:t xml:space="preserve">часть первую пункта 7 изложить в следующей редакции:</w:t>
      </w:r>
    </w:p>
    <w:p>
      <w:r>
        <w:t xml:space="preserve">"7. ЦГО рассматривает представленные ходатайства местных уполномоченных органов (далее – МУО) в течение 5 (пяти) календарных дней со дня их поступления посредством электронного документооборота в соответствии с Цифровым кодексом Республики Казахстан.";</w:t>
      </w:r>
    </w:p>
    <w:p>
      <w:r>
        <w:t xml:space="preserve">пункты 18 , 19 и 20 изложить в следующей редакции:</w:t>
      </w:r>
    </w:p>
    <w:p>
      <w:r>
        <w:t xml:space="preserve">"18. Перечисление средств Фонда на соответствующие счета МУО производится ЦГО посредством цифровой системы "Казначейство-клиент", путем предоставления в органы государственного казначейства счета к оплате с приложением решения РБК и одобренного Перечня.</w:t>
      </w:r>
    </w:p>
    <w:p>
      <w:pPr>
        <w:pStyle w:val="Heading2"/>
      </w:pPr>
      <w:r>
        <w:t xml:space="preserve">Пункт 19</w:t>
      </w:r>
    </w:p>
    <w:p>
      <w:r>
        <w:t xml:space="preserve">19. Средства со счета ЦГО и (или) МУО расходуются в соответствии с приказом Министра финансов Республики Казахстан от 27 июня 2025 года № 328 "Об утверждении процедур казначейского исполнения бюджета и их кассового обслуживания, процедур казначейского учета и мониторинга" (далее – Процедуры № 328).</w:t>
      </w:r>
    </w:p>
    <w:p>
      <w:pPr>
        <w:pStyle w:val="Heading2"/>
      </w:pPr>
      <w:r>
        <w:t xml:space="preserve">Пункт 20</w:t>
      </w:r>
    </w:p>
    <w:p>
      <w:r>
        <w:t xml:space="preserve">20. Проведение платежей, связанных с использованием средств Фонда со счетов ЦГО и (или) МУО, осуществляется в соответствии с пунктом 3 статьи 110 Бюджетного кодекса и с параграфами 7, 8, 9, 10 и 11 главы 6 Процедур № 328.";</w:t>
      </w:r>
    </w:p>
    <w:p>
      <w:r>
        <w:t xml:space="preserve">пункт 21 изложить в следующей редакции:</w:t>
      </w:r>
    </w:p>
    <w:p>
      <w:r>
        <w:t xml:space="preserve">"21. Порядок открытия и закрытия счета Фонда и счетов ЦГО и (или) МУО осуществляется в соответствии с требованиями параграфов 3 и 8 главы 4 Процедур № 328.";</w:t>
      </w:r>
    </w:p>
    <w:p>
      <w:r>
        <w:t xml:space="preserve">в пункте 24 :</w:t>
      </w:r>
    </w:p>
    <w:p>
      <w:r>
        <w:t xml:space="preserve">часть первую изложить в следующей редакции:</w:t>
      </w:r>
    </w:p>
    <w:p>
      <w:r>
        <w:t xml:space="preserve">"24. Уполномоченный орган по государственному имуществу ежемесячно до 25-го числа проводит мониторинг поступлений средств на счет Фонда посредством цифровой системы "Казначейство-клиент" органов государственного казначейства.";</w:t>
      </w:r>
    </w:p>
    <w:p>
      <w:r>
        <w:t xml:space="preserve">часть четвертую изложить в следующей редакции:</w:t>
      </w:r>
    </w:p>
    <w:p>
      <w:r>
        <w:t xml:space="preserve">"Для сверки данных в рамках мониторинга использования средств Фонда государственным казначейством ежемесячно до 10-го числа месяца, следующего за отчетным предоставляется в центральный уполномоченный орган по исполнению бюджета информация о наличии остатков средств Фонда на специальных счетах ЦГО и МИО.";</w:t>
      </w:r>
    </w:p>
    <w:p>
      <w:r>
        <w:t xml:space="preserve">приложения 1 и 2 к указанным Правилам изложить в новой редакции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опубликования, за исключением абзаца восемнадцатого пункта 1 настоящего приказа, который вводится в действие с 1 июля 2026 года, а также за исключением абзацев пятого, шестого, восьмого, четырнадцатого и пятнадцатого пункта 1 настоящего приказа, которые вводятся в действие с 12 июля 2026 года, и подлежит официальному опубликованию.</w:t>
      </w:r>
    </w:p>
    <w:p>
      <w:r>
        <w:t xml:space="preserve">| исполняющий обязанности Министра финансов Республики Казахстан | Е. Биржанов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Приложение 1 к приказу от 24 июня 2026 года № 432 |</w:t>
      </w:r>
    </w:p>
    <w:p>
      <w:r>
        <w:t xml:space="preserve">|---|---|</w:t>
      </w:r>
    </w:p>
    <w:p>
      <w:r>
        <w:t xml:space="preserve">|  | Приложение 1 к Правилам использования и мониторинга средств Специального государственного фонда |</w:t>
      </w:r>
    </w:p>
    <w:p>
      <w:r>
        <w:t xml:space="preserve">|  | форма |</w:t>
      </w:r>
    </w:p>
    <w:p>
      <w:pPr>
        <w:pStyle w:val="Heading2"/>
      </w:pPr>
      <w:r>
        <w:t xml:space="preserve">Глава Ходатайство на включение в проект перечня социальных и экономических проектов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Правилам использования и мониторинга средств Специального государственного фонда (далее – Фонд) центральный государственный орган/ местный уполномоченный орган просит включить в проект Перечня ______________________________________________________________________ (указать наименование социальных и экономических проектов) Основные идентификационные характеристики социального/экономического проекта: 1) сметная стоимость ________ тысяч теңге; 2) положительное заключение комплексной вневедомственной экспертизы проектов (технико-экономическое обоснование или проектно-сметная документация) и положительное экономическое заключение инвестиционного предложения, технико-экономического обоснования и финансово-экономического обоснования от _______________ №__________; 3) стоимость по заключенному договору государственных закупок ____ тысяч теңге; 4) проектная мощность _______ мест; 5) этажность ____; 6) площадь (общая, кабинетов) ____ квадратных метров; 7) месторасположение (адрес) __________________________________; 8) кадастровый номер земельного участка ________________________; 9) площадь земельного участка __________________________________. Требуемая сумма финансирования из Фонда по инвестиционному проекту ______________________________ (цифрами и прописью) тысяч теңге. К ходатайству прилагаются следующие документы: положительное заключение комплексной вневедомственной экспертизы (технико-экономическое обоснование или проектно-сметная документация), предназначенных для строительства новых объектов и положительное экономическое заключение инвестиционного предложения, технико-экономического обоснования и финансово-экономического обоснования. Приложение: на ______ листах. Руководитель центрального государственного органа/ Аким столицы, области, города республиканского значения _____________________________________________ (подпись, фамилия, имя, отчество (при его наличии) Место печати</w:t>
      </w:r>
    </w:p>
    <w:p>
      <w:r>
        <w:t xml:space="preserve">|  | Приложение 2 к приказу от 24 июня 2026 года № 432 |</w:t>
      </w:r>
    </w:p>
    <w:p>
      <w:r>
        <w:t xml:space="preserve">|---|---|</w:t>
      </w:r>
    </w:p>
    <w:p>
      <w:r>
        <w:t xml:space="preserve">|  | Приложение 2 к Правилам использования и мониторинга средств Специального государственного фонда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центральный уполномоченный орган по исполнению бюджета/ в центральный государственный орган соответствующей сферы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www.gov.kz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Отчет об использовании средств, выделенных из Специального государственного фонда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1-СГФ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ежеквартально, ежегодно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______квартал _______год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центральный государственный орган соответствующей сферы/местный уполномоченный орган соответствующей сферы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</w:t>
      </w:r>
    </w:p>
    <w:p>
      <w:pPr>
        <w:pStyle w:val="Heading2"/>
      </w:pPr>
      <w:r>
        <w:t xml:space="preserve">Текст</w:t>
      </w:r>
    </w:p>
    <w:p>
      <w:r>
        <w:t xml:space="preserve">для местного уполномоченного органа соответствующей сферы – в срок до 15 числа месяца, следующего за отчетным периодом и за соответствующий финансовый год в срок до 20 января года, следующего за отчетным;</w:t>
      </w:r>
    </w:p>
    <w:p>
      <w:pPr>
        <w:pStyle w:val="Heading2"/>
      </w:pPr>
      <w:r>
        <w:t xml:space="preserve">Текст</w:t>
      </w:r>
    </w:p>
    <w:p>
      <w:r>
        <w:t xml:space="preserve">для центрального государственного органа соответствующей сферы – в срок до 20 числа месяца, следующего за отчетным периодом и за соответствующий финансовый год в срок до 25 января года, следующего за отчетным.</w:t>
      </w:r>
    </w:p>
    <w:p>
      <w:pPr>
        <w:pStyle w:val="Heading2"/>
      </w:pPr>
      <w:r>
        <w:t xml:space="preserve">Текст</w:t>
      </w:r>
    </w:p>
    <w:p>
      <w:r>
        <w:t xml:space="preserve">Бизнес-идентификационный номер: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тысяч теңге</w:t>
      </w:r>
    </w:p>
    <w:p>
      <w:r>
        <w:t xml:space="preserve">| Код | Наименование центрального государственного органа/местного уполномоченного органа | Наименование проекта | Сметная стоимость (по проектно-сметной документации) | Стоимость по заключенному договору государственных закупок | Дата и номер договора | Софинансирование из: |  |</w:t>
      </w:r>
    </w:p>
    <w:p>
      <w:r>
        <w:t xml:space="preserve">|---|---|---|---|---|---|---|---|</w:t>
      </w:r>
    </w:p>
    <w:p>
      <w:r>
        <w:t xml:space="preserve">| республиканского бюджета | местного бюджета |  |  |  |  |  |  |</w:t>
      </w:r>
    </w:p>
    <w:p>
      <w:r>
        <w:t xml:space="preserve">| 1 | 2 | 3 | 4 | 5 | 6 | 7 | 8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Неиспользованный остаток на начало года | Перечислено на специальный счет | Использовано | Неиспользованный остаток на конец отчетного периода | Сумма экономии | Сумма возврата в Специальный государственный фонд | Достигнутый результат/причины недостижения |</w:t>
      </w:r>
    </w:p>
    <w:p>
      <w:r>
        <w:t xml:space="preserve">|---|---|---|---|---|---|---|</w:t>
      </w:r>
    </w:p>
    <w:p>
      <w:r>
        <w:t xml:space="preserve">| 9 | 10 | 11 | 12 | 13 | 14 | 15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 Адрес: ________________________ ____________________________________ ______________________________ Телефон: ___________________________ Адрес электронной почты: ___________________________________________ Исполнитель: __________________________ ____________________________ фамилия, имя и отчество (при его наличии) подпись, телефон Руководитель центрального государственного органа/Аким столицы, области, города республиканского значения _____________________________________________ (подпись, фамилия, имя, отчество (при его наличии) Место печати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"Отчет об использовании средств, выделенных из Специального государственного фонда", приведено в приложение к форме, "Отчет об использовании средств, выделенных из Специального государственного фонда".</w:t>
      </w:r>
    </w:p>
    <w:p>
      <w:r>
        <w:t xml:space="preserve">|  | Приложение к форме, предназначенной для сбора административных данных на безвозмездной "Отчет об использовании средств, выделенных из Специального государственного фонда"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"Отчет об использовании средств, выделенных из Специального государственного фонда" (1-СГФ, ежеквартально, ежегодно)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по заполнению формы, предназначенной для сбора административных данных на безвозмездной "Отчет об использовании средств, выделенных из Специального государственного фонда" (далее-Форма), предназначено для составления и представления центральными государственными органами соответствующей сферы/местными уполномоченными органами соответствующей сферы.</w:t>
      </w:r>
    </w:p>
    <w:p>
      <w:pPr>
        <w:pStyle w:val="Heading2"/>
      </w:pPr>
      <w:r>
        <w:t xml:space="preserve">Пункт 2</w:t>
      </w:r>
    </w:p>
    <w:p>
      <w:r>
        <w:t xml:space="preserve">2. Форма подписывается руководителем центрального государственного органа/акимом столицы, области, города республиканского значения с указанием его фамилии, имени и отчества (при его наличии).</w:t>
      </w:r>
    </w:p>
    <w:p>
      <w:pPr>
        <w:pStyle w:val="Heading2"/>
      </w:pPr>
      <w:r>
        <w:t xml:space="preserve">Пункт 3</w:t>
      </w:r>
    </w:p>
    <w:p>
      <w:r>
        <w:t xml:space="preserve">3. Все показатели в стоимостном выражении заполняются в тысячах теңге без десятичного знака.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4</w:t>
      </w:r>
    </w:p>
    <w:p>
      <w:r>
        <w:t xml:space="preserve">4. В графе 1 указывается код администратора бюджетных программ.</w:t>
      </w:r>
    </w:p>
    <w:p>
      <w:pPr>
        <w:pStyle w:val="Heading2"/>
      </w:pPr>
      <w:r>
        <w:t xml:space="preserve">Пункт 5</w:t>
      </w:r>
    </w:p>
    <w:p>
      <w:r>
        <w:t xml:space="preserve">5. В графе 2 указывается наименование центрального государственного органа или местного уполномоченного органа.</w:t>
      </w:r>
    </w:p>
    <w:p>
      <w:pPr>
        <w:pStyle w:val="Heading2"/>
      </w:pPr>
      <w:r>
        <w:t xml:space="preserve">Пункт 6</w:t>
      </w:r>
    </w:p>
    <w:p>
      <w:r>
        <w:t xml:space="preserve">6. В графе 3 указывается наименование проекта.</w:t>
      </w:r>
    </w:p>
    <w:p>
      <w:pPr>
        <w:pStyle w:val="Heading2"/>
      </w:pPr>
      <w:r>
        <w:t xml:space="preserve">Пункт 7</w:t>
      </w:r>
    </w:p>
    <w:p>
      <w:r>
        <w:t xml:space="preserve">7. В графе 4 указывается сметная стоимость строительства.</w:t>
      </w:r>
    </w:p>
    <w:p>
      <w:pPr>
        <w:pStyle w:val="Heading2"/>
      </w:pPr>
      <w:r>
        <w:t xml:space="preserve">Пункт 8</w:t>
      </w:r>
    </w:p>
    <w:p>
      <w:r>
        <w:t xml:space="preserve">8. В графе 5 указывается стоимость работ по заключенному договору государственных закупок.</w:t>
      </w:r>
    </w:p>
    <w:p>
      <w:pPr>
        <w:pStyle w:val="Heading2"/>
      </w:pPr>
      <w:r>
        <w:t xml:space="preserve">Пункт 9</w:t>
      </w:r>
    </w:p>
    <w:p>
      <w:r>
        <w:t xml:space="preserve">9. В графе 6 указывается дата и номер заключенного договора с поставщиком.</w:t>
      </w:r>
    </w:p>
    <w:p>
      <w:pPr>
        <w:pStyle w:val="Heading2"/>
      </w:pPr>
      <w:r>
        <w:t xml:space="preserve">Пункт 10</w:t>
      </w:r>
    </w:p>
    <w:p>
      <w:r>
        <w:t xml:space="preserve">10. В графе 7 указывается объем выделенных средств софинансирования из республиканского бюджета.</w:t>
      </w:r>
    </w:p>
    <w:p>
      <w:pPr>
        <w:pStyle w:val="Heading2"/>
      </w:pPr>
      <w:r>
        <w:t xml:space="preserve">Пункт 11</w:t>
      </w:r>
    </w:p>
    <w:p>
      <w:r>
        <w:t xml:space="preserve">11. В графе 8 указывается объем выделенных средств софинансирования из местного бюджета.</w:t>
      </w:r>
    </w:p>
    <w:p>
      <w:pPr>
        <w:pStyle w:val="Heading2"/>
      </w:pPr>
      <w:r>
        <w:t xml:space="preserve">Пункт 12</w:t>
      </w:r>
    </w:p>
    <w:p>
      <w:r>
        <w:t xml:space="preserve">12. В графе 9 указывается неиспользованный остаток бюджетных средств/средств из Специального государственного фонда на начало года.</w:t>
      </w:r>
    </w:p>
    <w:p>
      <w:pPr>
        <w:pStyle w:val="Heading2"/>
      </w:pPr>
      <w:r>
        <w:t xml:space="preserve">Пункт 13</w:t>
      </w:r>
    </w:p>
    <w:p>
      <w:r>
        <w:t xml:space="preserve">13. В графе 10 указывается сумма перечисленных на специальный счет средств Специального государственного фонда.</w:t>
      </w:r>
    </w:p>
    <w:p>
      <w:pPr>
        <w:pStyle w:val="Heading2"/>
      </w:pPr>
      <w:r>
        <w:t xml:space="preserve">Пункт 14</w:t>
      </w:r>
    </w:p>
    <w:p>
      <w:r>
        <w:t xml:space="preserve">14. В графе 11 указывается сумма использованных средств Специального государственного фонда.</w:t>
      </w:r>
    </w:p>
    <w:p>
      <w:pPr>
        <w:pStyle w:val="Heading2"/>
      </w:pPr>
      <w:r>
        <w:t xml:space="preserve">Пункт 15</w:t>
      </w:r>
    </w:p>
    <w:p>
      <w:r>
        <w:t xml:space="preserve">15. В графе 12 указывается неиспользованный остаток выделенных средств из Специального государственного фонда на конец отчетного периода.</w:t>
      </w:r>
    </w:p>
    <w:p>
      <w:pPr>
        <w:pStyle w:val="Heading2"/>
      </w:pPr>
      <w:r>
        <w:t xml:space="preserve">Пункт 16</w:t>
      </w:r>
    </w:p>
    <w:p>
      <w:r>
        <w:t xml:space="preserve">16. В графе 13 указывается сумма экономии средств Специального государственного фонда.</w:t>
      </w:r>
    </w:p>
    <w:p>
      <w:pPr>
        <w:pStyle w:val="Heading2"/>
      </w:pPr>
      <w:r>
        <w:t xml:space="preserve">Пункт 17</w:t>
      </w:r>
    </w:p>
    <w:p>
      <w:r>
        <w:t xml:space="preserve">17. В графе 14 указывается сумма возврата в Специальный государственный фонд (соответствии с пунктами 23 и 25 Правил использования и мониторинга средств Специального государственного фонда).</w:t>
      </w:r>
    </w:p>
    <w:p>
      <w:pPr>
        <w:pStyle w:val="Heading2"/>
      </w:pPr>
      <w:r>
        <w:t xml:space="preserve">Пункт 18</w:t>
      </w:r>
    </w:p>
    <w:p>
      <w:r>
        <w:t xml:space="preserve">18. В графе 15 указывается достигнутый результат либо причины недостижения.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