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финансов Республики Казахстан от 21 мая 2025 года № 244 "Об утверждении Правил составления, представления и публикации гражданского бюджета на стадиях планирования и исполнения бюджета"</w:t>
      </w:r>
    </w:p>
    <w:p>
      <w:r>
        <w:t xml:space="preserve">Приказ, Изменения. Министерство финансов Республики Казахстан. от 19.06.2026. № 226806. редакция от 19.06.2026</w:t>
      </w:r>
    </w:p>
    <w:p>
      <w:pPr>
        <w:pStyle w:val="Heading2"/>
      </w:pPr>
      <w:r>
        <w:t xml:space="preserve">Текст</w:t>
      </w:r>
    </w:p>
    <w:p>
      <w:r>
        <w:t xml:space="preserve">Примечание ИЗПИ! Порядок введения в действие см. п. 3.</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21 мая 2025 года № 244 "Об утверждении Правил составления, представления и публикации гражданского бюджета на стадиях планирования и исполнения бюджета" (зарегистрирован в Реестре государственной регистрации нормативных правовых актов Республики Казахстан под № 36140), следующие изменения:</w:t>
      </w:r>
    </w:p>
    <w:p>
      <w:r>
        <w:t xml:space="preserve">в Правилах составления, представления и публикации гражданского бюджета на стадиях планирования и исполнения бюджета, утвержденных указанным приказом:</w:t>
      </w:r>
    </w:p>
    <w:p>
      <w:r>
        <w:t xml:space="preserve">пункт 3 изложить в следующей редакции:</w:t>
      </w:r>
    </w:p>
    <w:p>
      <w:r>
        <w:t xml:space="preserve">"3. Публикация гражданского бюджета осуществляется на официальных интернет-ресурсах центральных, местных государственных органов, субъектов квазигосударственного сектора, в том числе в обязательном порядке на интернет-портале открытых бюджетов, с соблюдением требований законодательства Республики Казахстан о доступе к информации, государственных секретах, об административных процедурах, общественных советах и цифрового законодательства Республики Казахстан, в отдельно созданной вкладке "Гражданский бюджет".";</w:t>
      </w:r>
    </w:p>
    <w:p>
      <w:r>
        <w:t xml:space="preserve">пункты 5 и 6 изложить в следующей редакции:</w:t>
      </w:r>
    </w:p>
    <w:p>
      <w:r>
        <w:t xml:space="preserve">"5. Формирование и публикация гражданского бюджета обеспечивается:</w:t>
      </w:r>
    </w:p>
    <w:p>
      <w:r>
        <w:t xml:space="preserve">центральным уполномоченным органом по бюджетному планированию на стадии планирования республиканского бюджета;</w:t>
      </w:r>
    </w:p>
    <w:p>
      <w:r>
        <w:t xml:space="preserve">центральным уполномоченным органом по исполнению бюджета на стадии исполнения республиканского бюджета;</w:t>
      </w:r>
    </w:p>
    <w:p>
      <w:r>
        <w:t xml:space="preserve">акиматом столицы, областным акиматом, акиматом города республиканского значения, районным (города областного значения) акиматом, аппаратом акима города районного значения, села, поселка, сельского округа, местными уполномоченными органами по государственному планированию на стадии планирования местных бюджетов;</w:t>
      </w:r>
    </w:p>
    <w:p>
      <w:r>
        <w:t xml:space="preserve">акиматом столицы, областным акиматом, акиматом города республиканского значения, районным (города областного значения) акиматом, аппаратом акима города районного значения, села, поселка, сельского округа, местными уполномоченными органами по исполнению бюджета на стадии исполнения местных бюджетов;</w:t>
      </w:r>
    </w:p>
    <w:p>
      <w:r>
        <w:t xml:space="preserve">администраторами бюджетных программ по расходам бюджета в разрезе бюджетных программ;</w:t>
      </w:r>
    </w:p>
    <w:p>
      <w:r>
        <w:t xml:space="preserve">субъектами квазигосударственного сектора по получаемым бюджетным средствам.</w:t>
      </w:r>
    </w:p>
    <w:p>
      <w:pPr>
        <w:pStyle w:val="Heading2"/>
      </w:pPr>
      <w:r>
        <w:t xml:space="preserve">Пункт 6</w:t>
      </w:r>
    </w:p>
    <w:p>
      <w:r>
        <w:t xml:space="preserve">6. Содержание гражданского бюджета излагается лаконично, понятно, в доступной для восприятия каждого гражданина форме. При его публикации используются инфографика, рисунки, схемы, диаграммы, таблицы и другие презентационные формы. Объемные материалы представляются в машиночитаемом формате (таблицы – в Excel, текстовый материал – в Word).";</w:t>
      </w:r>
    </w:p>
    <w:p>
      <w:r>
        <w:t xml:space="preserve">пункты 8 и 9 изложить в следующей редакции:</w:t>
      </w:r>
    </w:p>
    <w:p>
      <w:r>
        <w:t xml:space="preserve">"8. При составлении гражданского бюджета на официальных интернет-ресурсах центрального уполномоченного органа по бюджетному планированию, исполнению бюджета и местных уполномоченных органов по государственному планированию, исполнению бюджета, акимата столицы, областных акиматов, акимата города республиканского значения, районного (города областного значения) акимата, аппаратов акимов городов районного значения, сел, поселков, сельских округов (далее – интернет-ресурсы) во вкладке "Гражданский бюджет" размещается краткое описание бюджетного процесса Республики Казахстан.</w:t>
      </w:r>
    </w:p>
    <w:p>
      <w:pPr>
        <w:pStyle w:val="Heading2"/>
      </w:pPr>
      <w:r>
        <w:t xml:space="preserve">Пункт 9</w:t>
      </w:r>
    </w:p>
    <w:p>
      <w:r>
        <w:t xml:space="preserve">9. Центральным уполномоченным органом по бюджетному планированию, местными уполномоченными органами по государственному планированию, акиматом столицы, областными акиматами, акиматами города республиканского значения, районными (городов областного значения) акиматами, аппаратами акимов городов районного значения, сел, поселков, сельских округов при описании бюджетного процесса указываются основные процедуры планирования бюджета:</w:t>
      </w:r>
    </w:p>
    <w:p>
      <w:r>
        <w:t xml:space="preserve">кем и как планируется республиканский бюджет, бюджет столицы, областной бюджет, бюджет города республиканского значения, районный (города областного значения) бюджет, бюджет города районного значения, села, поселка, сельского округа;</w:t>
      </w:r>
    </w:p>
    <w:p>
      <w:r>
        <w:t xml:space="preserve">кем рассматривается и в соответствии с каким нормативным правовым актом утверждается республиканский бюджет, бюджет столицы, областной бюджет, бюджет города республиканского значения, районный (города областного значения) бюджет, бюджет города районного значения, села, поселка, сельского округа;</w:t>
      </w:r>
    </w:p>
    <w:p>
      <w:r>
        <w:t xml:space="preserve">Уполномоченными органами по исполнению бюджета, акиматом столицы, областными акиматами, акиматами городов республиканского значения, районными (городов областного значения) акиматами, аппаратами акимов городов районного значения, сел, поселков, сельских округов при описании бюджетного процесса указываются основные процедуры исполнения бюджета:</w:t>
      </w:r>
    </w:p>
    <w:p>
      <w:r>
        <w:t xml:space="preserve">кто обеспечивает исполнение республиканского бюджета, бюджета столицы, областного бюджета, бюджета города республиканского значения, районного (города областного значения) бюджета, бюджета города районного значения, села, поселка, сельского округа;</w:t>
      </w:r>
    </w:p>
    <w:p>
      <w:r>
        <w:t xml:space="preserve">основные этапы исполнения соответствующего бюджета по поступлениям и расходам;</w:t>
      </w:r>
    </w:p>
    <w:p>
      <w:r>
        <w:t xml:space="preserve">информация об источниках и направлениях использования национальных ресурсов;</w:t>
      </w:r>
    </w:p>
    <w:p>
      <w:r>
        <w:t xml:space="preserve">детализированные данные согласно бюджетной классификации на всех этапах бюджетного процесса;</w:t>
      </w:r>
    </w:p>
    <w:p>
      <w:r>
        <w:t xml:space="preserve">в случае внесения изменений и дополнений в Бюджетный кодекс, указывается краткая информация поправок, когда и по какой причине были внесены поправки;</w:t>
      </w:r>
    </w:p>
    <w:p>
      <w:r>
        <w:t xml:space="preserve">составления, рассмотрения и утверждения годового отчета об исполнении бюджета за отчетный финансовый год.";</w:t>
      </w:r>
    </w:p>
    <w:p>
      <w:r>
        <w:t xml:space="preserve">пункт 12 изложить в следующий редакции:</w:t>
      </w:r>
    </w:p>
    <w:p>
      <w:r>
        <w:t xml:space="preserve">"12. Подраздел "Основные показатели социально-экономического развития региона" включает информацию по основным показателям социально-экономического развития на уровне столицы, областном уровне, уровне города республиканского значения на планируемый трехлетний период, которые дают общее представление о государственной политике бюджетных расходов на соответствующий период, прогнозируемый уровень валового регионального продукта (далее – ВРП) в сравнении с предыдущими годами.</w:t>
      </w:r>
    </w:p>
    <w:p>
      <w:r>
        <w:t xml:space="preserve">На уровне местных бюджетов отражается месячный расчетный показатель, минимальный размер заработной платы, минимальный размер государственной базовой пенсионной выплаты, минимальный размер пенсии, размеры стипендий, пособий.";</w:t>
      </w:r>
    </w:p>
    <w:p>
      <w:r>
        <w:t xml:space="preserve">пункты 16 и 17 изложить в следующей редакции:</w:t>
      </w:r>
    </w:p>
    <w:p>
      <w:r>
        <w:t xml:space="preserve">"16. В гражданский бюджет на уровне местных бюджетов включается информация с раскрытием решений, заложенных в проекте местного бюджета, сведения о состоянии долга местного исполнительного органа, по проектам государственно-частного партнерства и информация по реализации бюджета народного участия.</w:t>
      </w:r>
    </w:p>
    <w:p>
      <w:r>
        <w:t xml:space="preserve">В гражданский бюджет включается информация о предварительной оценке ревизионных комиссий проектов бюджета столицы, областных бюджетов, бюджетов городов республиканского бюджета по основным направлениям их расходов.</w:t>
      </w:r>
    </w:p>
    <w:p>
      <w:pPr>
        <w:pStyle w:val="Heading2"/>
      </w:pPr>
      <w:r>
        <w:t xml:space="preserve">Пункт 17</w:t>
      </w:r>
    </w:p>
    <w:p>
      <w:r>
        <w:t xml:space="preserve">17. Администраторами бюджетных программ составляется раздел "На стадии планирования (формирования, утверждения, уточнения) бюджета" с включением информации:</w:t>
      </w:r>
    </w:p>
    <w:p>
      <w:r>
        <w:t xml:space="preserve">о бюджетных программах с описанием мероприятий, предусмотренных в паспортах бюджетных программ, планируемых расходов и указанием сумм в миллионах теңге, показателей прямых и конечных результатов, с указанием планируемых выгод для населения и страны (включается информация по бюджетным программам, где конечным получателем услуг (работ) является население страны, в том числе информация о строительстве школ, больниц, автомобильных дорог и других объектах, работах, услугах, а также по созданию рабочих мест, увеличению заработной платы);</w:t>
      </w:r>
    </w:p>
    <w:p>
      <w:r>
        <w:t xml:space="preserve">об оценке экономического эффекта от заявляемых расходов на бюджетные инвестиционные проекты, формирование и (или) увеличение уставных капиталов юридических лиц;</w:t>
      </w:r>
    </w:p>
    <w:p>
      <w:r>
        <w:t xml:space="preserve">о бюджете народного участия (для администраторов местных бюджетных программ, осуществляющих реализацию бюджета народного участия).";</w:t>
      </w:r>
    </w:p>
    <w:p>
      <w:r>
        <w:t xml:space="preserve">пункт 21 изложить в новой редакции:</w:t>
      </w:r>
    </w:p>
    <w:p>
      <w:r>
        <w:t xml:space="preserve">"21. Администраторами бюджетных программ составляется раздел "На стадии исполнения бюджета" с размещением результатов выполнения показателей плана развития государственного органа, отчетов о реализации бюджетных программ, отчетов об исполнении планов поступлений и расходов денег от реализации товаров (работ, услуг), отчетов о поступлении и расходовании денег от благотворительности и информации по итогам государственного аудита и финансового контроля.</w:t>
      </w:r>
    </w:p>
    <w:p>
      <w:r>
        <w:t xml:space="preserve">Администраторами бюджетных программ, в доступной для восприятия каждого гражданина форме, размещается информация об освоении выделенных средств по бюджетным программам (подпрограммам) с указанием достигнутых (недостигнутых) показателей результатов, а также о результатах получения выгод для населения и страны (включается информация по бюджетным программам, где конечным получателем услуг (работ) является население страны, в том числе информация о реализации проектов по строительству школ, больниц, автомобильных дорог и других объектах, работах, услугах, а также по созданию рабочих мест, увеличению заработной платы);</w:t>
      </w:r>
    </w:p>
    <w:p>
      <w:r>
        <w:t xml:space="preserve">На уровне местных бюджетов администраторами местных бюджетных программ, осуществляющих реализацию бюджета народного участия, размещается информация о реализации бюджета народного участия.";</w:t>
      </w:r>
    </w:p>
    <w:p>
      <w:r>
        <w:t xml:space="preserve">пункт 23 изложить в следующей редакции:</w:t>
      </w:r>
    </w:p>
    <w:p>
      <w:r>
        <w:t xml:space="preserve">"23. Публикация гражданского бюджета осуществляется в соответствии с пунктом 3 настоящих Правил на казахском и русском языках.</w:t>
      </w:r>
    </w:p>
    <w:p>
      <w:r>
        <w:t xml:space="preserve">При отсутствии интернет-ресурсов у аппаратов акимов городов районного значения, сел, поселков, сельских округов вкладка "Гражданский бюджет" города районного значения, села, поселка, сельского округа размещается на интернет-ресурсе уполномоченных органов по государственному планированию и исполнению бюджета вышестоящего бюджета.</w:t>
      </w:r>
    </w:p>
    <w:p>
      <w:r>
        <w:t xml:space="preserve">В целях обеспечения удобства пользователей допускается взаимная ссылка на интернет-ресурсы по вкладке "Гражданский бюджет" местных уполномоченных органов по государственному планированию и исполнению бюджета.</w:t>
      </w:r>
    </w:p>
    <w:p>
      <w:r>
        <w:t xml:space="preserve">Гражданский бюджет размещается также на интернет-портале открытых бюджетов центральным уполномоченным органом по бюджетному планированию и исполнению бюджета, акиматом столицы, областными акиматами, акиматами города республиканского значения, районными (городов областного значения) акиматами, аппаратами акима города районного значения, села, поселка, сельского округа, администраторами бюджетных программ и субъектами квазигосударственного сектора на казахском и русском языках.";</w:t>
      </w:r>
    </w:p>
    <w:p>
      <w:r>
        <w:t xml:space="preserve">пункты 26 и 27 изложить в следующей редакции:</w:t>
      </w:r>
    </w:p>
    <w:p>
      <w:r>
        <w:t xml:space="preserve">"26. Информация по разделу "на стадии исполнения бюджета" центральными и местными уполномоченными органами по исполнению бюджета, акиматом столицы, областным акиматом, акиматом города республиканского значения, районным (города областного значения) акиматом, аппаратом акима города районного значения, села, поселка, сельского округа размещается:</w:t>
      </w:r>
    </w:p>
    <w:p>
      <w:r>
        <w:t xml:space="preserve">ежемесячная информация до 25 числа месяца, следующего за отчетным месяцем;</w:t>
      </w:r>
    </w:p>
    <w:p>
      <w:r>
        <w:t xml:space="preserve">полугодовой обзор не позднее 1 сентября соответствующего года;</w:t>
      </w:r>
    </w:p>
    <w:p>
      <w:r>
        <w:t xml:space="preserve">годовой обзор в течение месяца после утверждения годового отчета об исполнении бюджета представительным органом соответствующего уровня, одновременно с рекомендациями органов государственного аудита по результатам проверки за отчетный финансовый год.</w:t>
      </w:r>
    </w:p>
    <w:p>
      <w:r>
        <w:t xml:space="preserve">Информация по разделу "на стадии исполнения бюджета" администраторами бюджетных программ и субъектами квазигосударственного сектора размещается в течение месяца после утверждения годового отчета об исполнении бюджета представительным органом соответствующего уровня.</w:t>
      </w:r>
    </w:p>
    <w:p>
      <w:pPr>
        <w:pStyle w:val="Heading2"/>
      </w:pPr>
      <w:r>
        <w:t xml:space="preserve">Пункт 27</w:t>
      </w:r>
    </w:p>
    <w:p>
      <w:r>
        <w:t xml:space="preserve">27. Информация по государственному долгу, которая содержит аналитическую информацию о состоянии долга на конец финансового года, формируется центральным уполномоченным органом по исполнению бюджета и размещается на официальном интернет-ресурсе по итогам года в течение месяца после утверждения годового отчета об исполнении республиканского бюджета в Курултае Республики Казахстан.".</w:t>
      </w:r>
    </w:p>
    <w:p>
      <w:pPr>
        <w:pStyle w:val="Heading2"/>
      </w:pPr>
      <w:r>
        <w:t xml:space="preserve">Пункт 2</w:t>
      </w:r>
    </w:p>
    <w:p>
      <w:r>
        <w:t xml:space="preserve">2. Департаменту методологии бюджетного процесса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Настоящий приказ вводится в действие с 1 июля 2026 года, за исключением абзаца четвертого пункта 1 настоящего приказа, который вступает в силу с 12 июля 2026 года, и подлежит официальному опубликованию.</w:t>
      </w:r>
    </w:p>
    <w:p>
      <w:r>
        <w:t xml:space="preserve">| Министр финансов Республики Казахстан | М. Такиев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