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29 апреля 2025 года № 208 "Об утверждении Правил планирования бюджета"</w:t>
      </w:r>
    </w:p>
    <w:p>
      <w:r>
        <w:t xml:space="preserve">Приказ, Изменения. Министерство финансов Республики Казахстан. от 10.04.2026. № 224108. редакция от 10.04.2026</w:t>
      </w:r>
    </w:p>
    <w:p>
      <w:pPr>
        <w:pStyle w:val="Heading2"/>
      </w:pPr>
      <w:r>
        <w:t xml:space="preserve">Текст</w:t>
      </w:r>
    </w:p>
    <w:p>
      <w:r>
        <w:t xml:space="preserve">Примечание ИЗПИ! Порядок введения в действие настоящего приказа см. п. 3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29 апреля 2025 года № 208 "Об утверждении Правил планирования бюджета" (зарегистрирован в Реестре государственной регистрации нормативных правовых актов под № 36034) следующие изменения:</w:t>
      </w:r>
    </w:p>
    <w:p>
      <w:r>
        <w:t xml:space="preserve">в Правилах планирования бюджета, утвержденных указанным приказом:</w:t>
      </w:r>
    </w:p>
    <w:p>
      <w:r>
        <w:t xml:space="preserve">подпункт 1) пункта 20 изложить в следующей редакции:</w:t>
      </w:r>
    </w:p>
    <w:p>
      <w:r>
        <w:t xml:space="preserve">"1) на оплату труда государственных служащих расчет осуществляется на основе лимитов штатной численности в соответствии с постановлением Правительства Республики Казахстан от 16 октября 2017 года № 646 дсп "Об утверждении единой системы оплаты труда работников для всех органов, содержащихся за счет государственного бюджета" (специфики подкласса 110 Экономической классификации расходов, утвержденной приказом Министра финансов Республики Казахстан от 4 апреля 2025 года № 151 "Некоторые вопросы Единой бюджетной классификации Республики Казахстан" (далее – ЭКР);";</w:t>
      </w:r>
    </w:p>
    <w:p>
      <w:r>
        <w:t xml:space="preserve">пункт 38 изложить в следующей редакции:</w:t>
      </w:r>
    </w:p>
    <w:p>
      <w:r>
        <w:t xml:space="preserve">"38. Проекты планов развития государственных органов или проекты изменений и дополнений в планы развития государственных органов, проекты паспортов бюджетных программ центральных государственных органов, проекты паспортов бюджетных программ администраторов республиканских бюджетных программ, не разрабатывающих планы развития государственных органов, расчеты администраторов республиканских бюджетных программ определяются в соответствии с приказом исполняющего обязанности Министра национальной экономики Республики Казахстан от 1 декабря 2025 года № 128 "Об утверждении Методики разработки, реализации, проведения мониторинга и корректировки Национального плана развития Республики Казахстан, планов развития государственных органов, областей, городов республиканского значения, столицы, районов (городов областного значения)" и приказом Министра финансов Республики Казахстан от 22 апреля 2025 года № 185 "Об утверждении Правил составления, представления, рассмотрения бюджетного запроса" (далее – Приказ № 185).";</w:t>
      </w:r>
    </w:p>
    <w:p>
      <w:r>
        <w:t xml:space="preserve">подпункт 2) пункта 47 изложить в следующей редакции:</w:t>
      </w:r>
    </w:p>
    <w:p>
      <w:r>
        <w:t xml:space="preserve">"2) использование, эксплуатация и содержание стратегических объектов, критически важных объектов, в том числе объектов цифровой инфраструктуры, находящихся в государственной собственности, в силу обеспечения общественных интересов и национальной безопасности;";</w:t>
      </w:r>
    </w:p>
    <w:p>
      <w:r>
        <w:t xml:space="preserve">подпункт 4) пункта 56 изложить в следующей редакции:</w:t>
      </w:r>
    </w:p>
    <w:p>
      <w:r>
        <w:t xml:space="preserve">"4) наименование республиканской бюджетной программы с указанием кода единой бюджетной классификации, в соответствии с Единой бюджетной классификацией, утвержденной приказом Министра финансов Республики Казахстан от 4 апреля 2025 года № 151 "Некоторые вопросы Единой бюджетной классификации Республики Казахстан", в рамках которой выполняется государственное задание;";</w:t>
      </w:r>
    </w:p>
    <w:p>
      <w:pPr>
        <w:pStyle w:val="Heading2"/>
      </w:pPr>
      <w:r>
        <w:t xml:space="preserve">Приложение приложение 9 к указанным Правилам изложить в новой редакции согласно приложению к настоящему приказу.</w:t>
      </w:r>
    </w:p>
    <w:p>
      <w:pPr>
        <w:pStyle w:val="Heading2"/>
      </w:pPr>
      <w:r>
        <w:t xml:space="preserve">Пункт 2</w:t>
      </w:r>
    </w:p>
    <w:p>
      <w:r>
        <w:t xml:space="preserve">2.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первого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Настоящий приказ вводится в действие по истечении десяти календарных дней после дня его первого официального опубликования, за исключением абзацев седьмого и восьмого пункта 1 настоящего приказа, которые вводятся в действие с 12 июля 2026 года.</w:t>
      </w:r>
    </w:p>
    <w:p>
      <w:r>
        <w:t xml:space="preserve">| Министр финансов Республики Казахстан | М. Такиев |</w:t>
      </w:r>
    </w:p>
    <w:p>
      <w:r>
        <w:t xml:space="preserve">|---|---|</w:t>
      </w:r>
    </w:p>
    <w:p>
      <w:r>
        <w:t xml:space="preserve">|  | Приложение к приказу Министр финансов Республики Казахстан от 10 апреля 2026 года № 237 |</w:t>
      </w:r>
    </w:p>
    <w:p>
      <w:r>
        <w:t xml:space="preserve">|---|---|</w:t>
      </w:r>
    </w:p>
    <w:p>
      <w:r>
        <w:t xml:space="preserve">|  | Приложение 9 к Правилам планирования бюджета |</w:t>
      </w:r>
    </w:p>
    <w:p>
      <w:r>
        <w:t xml:space="preserve">|  | Форма |</w:t>
      </w:r>
    </w:p>
    <w:p>
      <w:pPr>
        <w:pStyle w:val="Heading2"/>
      </w:pPr>
      <w:r>
        <w:t xml:space="preserve">Глава Предложение на оказание государственных услуг в форме государственного задания</w:t>
      </w:r>
    </w:p>
    <w:p>
      <w:r>
        <w:t xml:space="preserve">| № | Наименование государственной услуги | Описание государственной услуги | Наименование юридического лица, ответственного за выполнение государственного задания |</w:t>
      </w:r>
    </w:p>
    <w:p>
      <w:r>
        <w:t xml:space="preserve">|---|---|---|---|</w:t>
      </w:r>
    </w:p>
    <w:p>
      <w:r>
        <w:t xml:space="preserve">| 1 | 2 | 3 | 4 |</w:t>
      </w:r>
    </w:p>
    <w:p>
      <w:pPr>
        <w:pStyle w:val="Heading2"/>
      </w:pPr>
      <w:r>
        <w:t xml:space="preserve">Текст</w:t>
      </w:r>
    </w:p>
    <w:p>
      <w:r>
        <w:t xml:space="preserve">продолжение таблицы</w:t>
      </w:r>
    </w:p>
    <w:p>
      <w:r>
        <w:t xml:space="preserve">| Наименование республиканской бюджетной программы, в рамках которой предлагается выполнение государственного задания | Сумма бюджетных средств на плановый период, планируемая на выполнение государственного задания |  |  |  |  |  |  |  |  |</w:t>
      </w:r>
    </w:p>
    <w:p>
      <w:r>
        <w:t xml:space="preserve">|---|---|---|---|---|---|---|---|---|---|</w:t>
      </w:r>
    </w:p>
    <w:p>
      <w:r>
        <w:t xml:space="preserve">| __год | __год | __год |  |  |  |  |  |  |  |</w:t>
      </w:r>
    </w:p>
    <w:p>
      <w:r>
        <w:t xml:space="preserve">| Общая сумма, тысяч тенге | Объем государственного задания, передаваемого субподрядчику (соисполнителю) | Общая сумма, тысяч тенге | Объем государственного задания, передаваемого субподрядчику (соисполнителю) | Общая сумма, тысяч тенге | Объем государственного задания, передаваемого субподрядчику (соисполнителю) |  |  |  |  |</w:t>
      </w:r>
    </w:p>
    <w:p>
      <w:r>
        <w:t xml:space="preserve">| Сумма тысяч тенге | % | Сумма тысяч тенге | % | Сумма тысяч тенге | % |  |  |  |  |</w:t>
      </w:r>
    </w:p>
    <w:p>
      <w:r>
        <w:t xml:space="preserve">| 5 | 6 | 7 | 8 | 9 | 10 | 11 | 12 | 13 | 14 |</w:t>
      </w:r>
    </w:p>
    <w:p>
      <w:pPr>
        <w:pStyle w:val="Heading2"/>
      </w:pPr>
      <w:r>
        <w:t xml:space="preserve">Текст</w:t>
      </w:r>
    </w:p>
    <w:p>
      <w:r>
        <w:t xml:space="preserve">продолжение таблицы</w:t>
      </w:r>
    </w:p>
    <w:p>
      <w:r>
        <w:t xml:space="preserve">| Срок выполнения государственного задания | Обоснование необходимости и подтверждение целесообразности и эффективности оказания государственной услуги, с указанием целей и задач на достижение которых направлено государственное задание | Планируемые показатели конечных результатов, показателей качества и эффективности выполнения государственного задания |</w:t>
      </w:r>
    </w:p>
    <w:p>
      <w:r>
        <w:t xml:space="preserve">|---|---|---|</w:t>
      </w:r>
    </w:p>
    <w:p>
      <w:r>
        <w:t xml:space="preserve">| 15 | 16 | 17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