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Кызылжарского районного маслихата Северо-Казахстанской области от 28 марта 2024 года № 10/6 "Об определении размера и порядка оказания жилищной помощи в Кызылжарском районе Северо-Казахстанской области"</w:t>
      </w:r>
    </w:p>
    <w:p>
      <w:r>
        <w:t xml:space="preserve">Решение, Изменения. Маслихат Кызылжарского района. от 02.05.2025. № 209908. редакция от 02.05.2025</w:t>
      </w:r>
    </w:p>
    <w:p>
      <w:pPr>
        <w:pStyle w:val="Heading2"/>
      </w:pPr>
      <w:r>
        <w:t xml:space="preserve">Текст</w:t>
      </w:r>
    </w:p>
    <w:p>
      <w:r>
        <w:t xml:space="preserve">Кызылжарский районный маслихат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Кызылжарского районного маслихата Северо-Казахстанской области от 28 марта 2024 года № 10/6 "Об определении размера и порядка оказания жилищной помощи в Кызылжарском районе Северо-Казахстанской области (зарегистрировано в Реестре государственной регистрации нормативных правовых актов № 7736-15)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посля дня его первого официального опубликования.</w:t>
      </w:r>
    </w:p>
    <w:p>
      <w:r>
        <w:t xml:space="preserve">| Председатель Кызылжарского районного маслихата Северо-Казахстанской области | Ж. Елеусизов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Кызылжарского |</w:t>
      </w:r>
    </w:p>
    <w:p>
      <w:r>
        <w:t xml:space="preserve">|  | районного маслихата |</w:t>
      </w:r>
    </w:p>
    <w:p>
      <w:r>
        <w:t xml:space="preserve">|  | Северо-Казахстанской области |</w:t>
      </w:r>
    </w:p>
    <w:p>
      <w:r>
        <w:t xml:space="preserve">|  | от 2 мая 2025 года |</w:t>
      </w:r>
    </w:p>
    <w:p>
      <w:r>
        <w:t xml:space="preserve">|  | № 22/2 |</w:t>
      </w:r>
    </w:p>
    <w:p>
      <w:r>
        <w:t xml:space="preserve">|  | Утверждены |</w:t>
      </w:r>
    </w:p>
    <w:p>
      <w:r>
        <w:t xml:space="preserve">|  | решением Кызылжарского |</w:t>
      </w:r>
    </w:p>
    <w:p>
      <w:r>
        <w:t xml:space="preserve">|  | районного маслихата |</w:t>
      </w:r>
    </w:p>
    <w:p>
      <w:r>
        <w:t xml:space="preserve">|  | Северо-Казахстанской области |</w:t>
      </w:r>
    </w:p>
    <w:p>
      <w:r>
        <w:t xml:space="preserve">|  | от 28 марта 2024 года |</w:t>
      </w:r>
    </w:p>
    <w:p>
      <w:r>
        <w:t xml:space="preserve">|  | № 10/6 |</w:t>
      </w:r>
    </w:p>
    <w:p>
      <w:pPr>
        <w:pStyle w:val="Heading2"/>
      </w:pPr>
      <w:r>
        <w:t xml:space="preserve">Глава Размер и порядок оказания жилищной помощи в Кызылжарском районе Северо-Казахстанской области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Жилищная помощь предоставляется за счет средств местного бюджета малообеспеченным семьям (гражданам) (далее – услугополучатель) Кызылжарского района Северо-Казахстанской области,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p>
      <w:r>
        <w:t xml:space="preserve">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p>
      <w:r>
        <w:t xml:space="preserve">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r>
        <w:t xml:space="preserve">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p>
      <w:r>
        <w:t xml:space="preserve">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p>
      <w:pPr>
        <w:pStyle w:val="Heading2"/>
      </w:pPr>
      <w:r>
        <w:t xml:space="preserve">Пункт 2</w:t>
      </w:r>
    </w:p>
    <w:p>
      <w:r>
        <w:t xml:space="preserve">2. Назначение жилищной помощи осуществляется коммунальным государственным учреждением "Кызылжарский районный отдел занятости и социальных программ" (далее – услугодатель).</w:t>
      </w:r>
    </w:p>
    <w:p>
      <w:pPr>
        <w:pStyle w:val="Heading2"/>
      </w:pPr>
      <w:r>
        <w:t xml:space="preserve">Глава 2 Размер оказания жилищной помощи</w:t>
      </w:r>
    </w:p>
    <w:p>
      <w:pPr>
        <w:pStyle w:val="Heading2"/>
      </w:pPr>
      <w:r>
        <w:t xml:space="preserve">Пункт 3</w:t>
      </w:r>
    </w:p>
    <w:p>
      <w:r>
        <w:t xml:space="preserve">3.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цели, в размере 5 (пять) процентов.</w:t>
      </w:r>
    </w:p>
    <w:p>
      <w:r>
        <w:t xml:space="preserve">При назначении жилищной помощи принимается норма площади в размере не менее 15 (пятнадцати) квадратных метров и не более 18 (восемнадцати) квадратных метров полезной площади на человека, но не менее однокомнатной квартиры или комнаты в общежитии.</w:t>
      </w:r>
    </w:p>
    <w:p>
      <w:pPr>
        <w:pStyle w:val="Heading2"/>
      </w:pPr>
      <w:r>
        <w:t xml:space="preserve">Глава 3 Порядок оказания жилищной помощи</w:t>
      </w:r>
    </w:p>
    <w:p>
      <w:pPr>
        <w:pStyle w:val="Heading2"/>
      </w:pPr>
      <w:r>
        <w:t xml:space="preserve">Пункт 4</w:t>
      </w:r>
    </w:p>
    <w:p>
      <w:r>
        <w:t xml:space="preserve">4. Жилищная помощь назначается один раз в квартал независимо от времени подачи документов в текущем квартале по совокупному доходу и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предыдущего квартала.</w:t>
      </w:r>
    </w:p>
    <w:p>
      <w:pPr>
        <w:pStyle w:val="Heading2"/>
      </w:pPr>
      <w:r>
        <w:t xml:space="preserve">Пункт 5</w:t>
      </w:r>
    </w:p>
    <w:p>
      <w:r>
        <w:t xml:space="preserve">5. Совокупный доход услугополучателя исчисляется услугодателем за квартал, предшествовавший кварталу обращения за назначением жилищной помощи в порядке, согласно Правилам предоставления жилищной помощи, утвержденным приказом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(далее – Правила).</w:t>
      </w:r>
    </w:p>
    <w:p>
      <w:pPr>
        <w:pStyle w:val="Heading2"/>
      </w:pPr>
      <w:r>
        <w:t xml:space="preserve">Пункт 6</w:t>
      </w:r>
    </w:p>
    <w:p>
      <w:r>
        <w:t xml:space="preserve">6. Компенсация услуг связи в части увеличения абонентской платы за телефон, подключенный к сети телекоммуникаций, производится в соответствии с приказом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 в Реестре государственной регистрации нормативных правовых актов под № 33200).</w:t>
      </w:r>
    </w:p>
    <w:p>
      <w:pPr>
        <w:pStyle w:val="Heading2"/>
      </w:pPr>
      <w:r>
        <w:t xml:space="preserve">Пункт 7</w:t>
      </w:r>
    </w:p>
    <w:p>
      <w:r>
        <w:t xml:space="preserve">7. Для назначения жилищной помощи услугополучатель (либо его представитель по нотариально заверенной доверенности) обращается в Некоммерческое акционерное общество "Государственная корпорация "Правительство для граждан" (далее – Государственная корпорация) и/или на веб-портал "электронного правительства" (далее – портал) с предоставлением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в Государственную корпорацию:</w:t>
      </w:r>
    </w:p>
    <w:p>
      <w:r>
        <w:t xml:space="preserve">заявление по форме согласно приложению 1 к Правилам;</w:t>
      </w:r>
    </w:p>
    <w:p>
      <w:r>
        <w:t xml:space="preserve">документ, удостоверяющий личность, либо электронный документ из сервиса цифровых документов (для идентификации личности);</w:t>
      </w:r>
    </w:p>
    <w:p>
      <w:r>
        <w:t xml:space="preserve">документы, подтверждающие доходы семьи (за исключением сведений, получаемых из соответствующих государственных информационных систем);</w:t>
      </w:r>
    </w:p>
    <w:p>
      <w:r>
        <w:t xml:space="preserve">справка с места работы либо справка о регистрации в качестве безработного лица (за исключением сведений, получаемых из соответствующих государственных информационных систем);</w:t>
      </w:r>
    </w:p>
    <w:p>
      <w:r>
        <w:t xml:space="preserve">сведения об алиментах на детей и других иждивенцев;</w:t>
      </w:r>
    </w:p>
    <w:p>
      <w:r>
        <w:t xml:space="preserve">банковский счет;</w:t>
      </w:r>
    </w:p>
    <w:p>
      <w:r>
        <w:t xml:space="preserve">счета о размерах ежемесячных взносов на содержание жилого дома (жилого здания);</w:t>
      </w:r>
    </w:p>
    <w:p>
      <w:r>
        <w:t xml:space="preserve">счета на потребление коммунальных услуг;</w:t>
      </w:r>
    </w:p>
    <w:p>
      <w:r>
        <w:t xml:space="preserve">квитанцию-счет за услуги телекоммуникаций или копия договора на оказание услуг связи;</w:t>
      </w:r>
    </w:p>
    <w:p>
      <w:r>
        <w:t xml:space="preserve">счет о размере арендной платы за пользование жилищем, арендованным местным исполнительным органом в частном жилищном фонде, предъявленный местным исполнительным органом;</w:t>
      </w:r>
    </w:p>
    <w:p>
      <w:pPr>
        <w:pStyle w:val="Heading2"/>
      </w:pPr>
      <w:r>
        <w:t xml:space="preserve">Подпункт 2</w:t>
      </w:r>
    </w:p>
    <w:p>
      <w:r>
        <w:t xml:space="preserve">2) на портал:</w:t>
      </w:r>
    </w:p>
    <w:p>
      <w:r>
        <w:t xml:space="preserve">запрос в форме электронного документа, удостоверенный ЭЦП услугополучателя;</w:t>
      </w:r>
    </w:p>
    <w:p>
      <w:r>
        <w:t xml:space="preserve">электронная копия документов, подтверждающих доходы семьи;</w:t>
      </w:r>
    </w:p>
    <w:p>
      <w:r>
        <w:t xml:space="preserve">электронная копия справки с места работы либо справка о регистрации в качестве безработного лица;</w:t>
      </w:r>
    </w:p>
    <w:p>
      <w:r>
        <w:t xml:space="preserve">электронная копия сведений об алиментах на детей и других иждивенцев;</w:t>
      </w:r>
    </w:p>
    <w:p>
      <w:r>
        <w:t xml:space="preserve">электронная копия банковского счета;</w:t>
      </w:r>
    </w:p>
    <w:p>
      <w:r>
        <w:t xml:space="preserve">электронная копия счета о размерах ежемесячных взносов на содержание жилого дома (жилого здания);</w:t>
      </w:r>
    </w:p>
    <w:p>
      <w:r>
        <w:t xml:space="preserve">электронная копия счета на потребление коммунальных услуг;</w:t>
      </w:r>
    </w:p>
    <w:p>
      <w:r>
        <w:t xml:space="preserve">электронная копия квитанции-счета за услуги телекоммуникаций или копию договора на оказание услуг связи;</w:t>
      </w:r>
    </w:p>
    <w:p>
      <w:r>
        <w:t xml:space="preserve">электронная копия счета о размере арендной платы за пользование жилищем, арендованным местным исполнительным органом в частном жилищном фонде, предъявленного местным исполнительным органом.</w:t>
      </w:r>
    </w:p>
    <w:p>
      <w:r>
        <w:t xml:space="preserve">Истребование документов, не предусмотренных настоящим пунктом, не допускается. Сведения о наличии или отсутствии жилища (по Республике Казахстан), принадлежащего им на праве собственности, услугодатель получает посредством информационных систем.</w:t>
      </w:r>
    </w:p>
    <w:p>
      <w:r>
        <w:t xml:space="preserve">При повторном обращении услугополучатель (либо его представитель по нотариально заверенной доверенности) представляет только подтверждающие документы о доходах семьи и счета на коммунальные расходы за истекший квартал перед обращением, за исключением, предусмотренного пунктом 11 Правил.</w:t>
      </w:r>
    </w:p>
    <w:p>
      <w:r>
        <w:t xml:space="preserve">При приеме документов через Государственную корпорацию выдается расписка о приеме соответствующих документов.</w:t>
      </w:r>
    </w:p>
    <w:p>
      <w:r>
        <w:t xml:space="preserve">При обращении через портал, услугополучателю в "личный кабинет" направляются статус о принятии запроса на назначение жилищной помощи, а также уведомление с указанием даты и времени получения результата государственной услуги.</w:t>
      </w:r>
    </w:p>
    <w:p>
      <w:r>
        <w:t xml:space="preserve">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портал составляет 6 (шесть) рабочих дней.</w:t>
      </w:r>
    </w:p>
    <w:p>
      <w:r>
        <w:t xml:space="preserve">Решение о назначении жилищной помощи либо мотивированный ответ об отказе в предоставлении услуги принимается услугодателем.</w:t>
      </w:r>
    </w:p>
    <w:p>
      <w:r>
        <w:t xml:space="preserve">Уведомление о назначении либо мотивированный ответ об отказе в назначении жилищной помощи направляется в Государственную корпорацию или "личный кабинет" в виде электронного документа.</w:t>
      </w:r>
    </w:p>
    <w:p>
      <w:pPr>
        <w:pStyle w:val="Heading2"/>
      </w:pPr>
      <w:r>
        <w:t xml:space="preserve">Пункт 8</w:t>
      </w:r>
    </w:p>
    <w:p>
      <w:r>
        <w:t xml:space="preserve">8. При выявлении оснований для отказа в назначении жилищной помощи в соответствии со статьей 73 Административного процедурно-процессуального кодекса Республики Казахстан (далее – АППК),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r>
        <w:t xml:space="preserve">По результатам заслушивания услугополучателю в форме электронного документа, подписанного ЭЦП уполномоченного лица услугодателя либо на бумажном носителе, направляется положительный результат либо мотивированный отказ в оказании государственной услуги.</w:t>
      </w:r>
    </w:p>
    <w:p>
      <w:pPr>
        <w:pStyle w:val="Heading2"/>
      </w:pPr>
      <w:r>
        <w:t xml:space="preserve">Пункт 9</w:t>
      </w:r>
    </w:p>
    <w:p>
      <w:r>
        <w:t xml:space="preserve">9. Услугодатель отказывает в оказании государственной услуги по следующим основаниям:</w:t>
      </w:r>
    </w:p>
    <w:p>
      <w:pPr>
        <w:pStyle w:val="Heading2"/>
      </w:pPr>
      <w:r>
        <w:t xml:space="preserve">Подпункт 1</w:t>
      </w:r>
    </w:p>
    <w:p>
      <w:r>
        <w:t xml:space="preserve"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p>
      <w:pPr>
        <w:pStyle w:val="Heading2"/>
      </w:pPr>
      <w:r>
        <w:t xml:space="preserve">Подпункт 2</w:t>
      </w:r>
    </w:p>
    <w:p>
      <w:r>
        <w:t xml:space="preserve"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Правилах;</w:t>
      </w:r>
    </w:p>
    <w:p>
      <w:pPr>
        <w:pStyle w:val="Heading2"/>
      </w:pPr>
      <w:r>
        <w:t xml:space="preserve">Подпункт 3</w:t>
      </w:r>
    </w:p>
    <w:p>
      <w:r>
        <w:t xml:space="preserve"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</w:r>
    </w:p>
    <w:p>
      <w:pPr>
        <w:pStyle w:val="Heading2"/>
      </w:pPr>
      <w:r>
        <w:t xml:space="preserve">Подпункт 4</w:t>
      </w:r>
    </w:p>
    <w:p>
      <w:r>
        <w:t xml:space="preserve"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p>
      <w:r>
        <w:t xml:space="preserve">В случае устранения услугополучателем причин отказа в оказании жилищной помощи услугополучатель может обратиться повторно для получения государственной услуги в установленном порядке, отказ в оказании жилищной помощи не препятствует повторному обращению.</w:t>
      </w:r>
    </w:p>
    <w:p>
      <w:pPr>
        <w:pStyle w:val="Heading2"/>
      </w:pPr>
      <w:r>
        <w:t xml:space="preserve">Пункт 10</w:t>
      </w:r>
    </w:p>
    <w:p>
      <w:r>
        <w:t xml:space="preserve">10. Назначение жилищной помощи получателям жилищной помощи осуществляется в пределах средств, предусмотренных в бюджете района на соответствующий финансовый год.</w:t>
      </w:r>
    </w:p>
    <w:p>
      <w:r>
        <w:t xml:space="preserve">Излишние или необоснованно полученные суммы жилищной помощи подлежат возврату услугополучателем в добровольном порядке, а в случае отказа в установленном законодательством порядке.</w:t>
      </w:r>
    </w:p>
    <w:p>
      <w:pPr>
        <w:pStyle w:val="Heading2"/>
      </w:pPr>
      <w:r>
        <w:t xml:space="preserve">Глава 4 Выплата жилищной помощи</w:t>
      </w:r>
    </w:p>
    <w:p>
      <w:pPr>
        <w:pStyle w:val="Heading2"/>
      </w:pPr>
      <w:r>
        <w:t xml:space="preserve">Пункт 11</w:t>
      </w:r>
    </w:p>
    <w:p>
      <w:r>
        <w:t xml:space="preserve">11. Выплата жилищной помощи услугополучателям осуществляется услугодателем через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 путем перечисления на лицевые счета получателей жилищной помощи.</w:t>
      </w:r>
    </w:p>
    <w:p>
      <w:r>
        <w:t xml:space="preserve">Перечисление денежных сумм на счета производится услугодателем ежемесячно за истекший месяц.</w:t>
      </w:r>
    </w:p>
    <w:p>
      <w:pPr>
        <w:pStyle w:val="Heading2"/>
      </w:pPr>
      <w:r>
        <w:t xml:space="preserve">Пункт 12</w:t>
      </w:r>
    </w:p>
    <w:p>
      <w:r>
        <w:t xml:space="preserve">12. Услугополучатели несут ответственность за достоверность представленных сведений в установленном законодательством порядке.</w:t>
      </w:r>
    </w:p>
    <w:p>
      <w:r>
        <w:t xml:space="preserve">Получатели жилищной помощи в течение десяти рабочих дней информируют уполномоченный орган о любых изменениях формы собственности своего жилья, состава семьи, ее совокупного дохода и статуса.</w:t>
      </w:r>
    </w:p>
    <w:p>
      <w:pPr>
        <w:pStyle w:val="Heading2"/>
      </w:pPr>
      <w:r>
        <w:t xml:space="preserve">Пункт 13</w:t>
      </w:r>
    </w:p>
    <w:p>
      <w:r>
        <w:t xml:space="preserve">13. Порядок обжалования решений, действий (бездействия) услугодателя и (или) его должностных лиц по вопросам назначения жилищной помощи производится в соответствии со статьей 91 АППК РК и пунктом 50 Правил.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