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Урджарского района от 17 марта 2017 года № 72 "Об определении перечня должностей специалистов в области социального обеспечения и культуры являющихся гражданскими служащими и работающих в сельской местности Урджарского района области Абай"</w:t>
      </w:r>
    </w:p>
    <w:p>
      <w:r>
        <w:t xml:space="preserve">Постановление. Акимат Урджарского района. от 28.02.2025. № 207896. редакция от 28.02.2025</w:t>
      </w:r>
    </w:p>
    <w:p>
      <w:pPr>
        <w:pStyle w:val="Heading2"/>
      </w:pPr>
      <w:r>
        <w:t xml:space="preserve">Текст</w:t>
      </w:r>
    </w:p>
    <w:p>
      <w:r>
        <w:t xml:space="preserve">Акимат Урджарского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Урджарского района "Об определении перечня должностей специалистов в области социального обеспечения и культуры являющихся гражданскими служащими и работающих в сельской местности Урджарского района области Абай" от 17 марта 2017 года № 72 (зарегистрированное в Реестре государственной регистрации нормативных правовых актов под № 5035) следующее изменение:</w:t>
      </w:r>
    </w:p>
    <w:p>
      <w:r>
        <w:t xml:space="preserve">в приложении к указанному постановлению пункт 1 изложить в новой редакции:</w:t>
      </w:r>
    </w:p>
    <w:p>
      <w:r>
        <w:t xml:space="preserve">"1.Должности специалистов в области социального обеспечения:</w:t>
      </w:r>
    </w:p>
    <w:p>
      <w:pPr>
        <w:pStyle w:val="Heading2"/>
      </w:pPr>
      <w:r>
        <w:t xml:space="preserve">Подпункт 1</w:t>
      </w:r>
    </w:p>
    <w:p>
      <w:r>
        <w:t xml:space="preserve">1) руководитель центра оказания специальных социальных услуг;</w:t>
      </w:r>
    </w:p>
    <w:p>
      <w:pPr>
        <w:pStyle w:val="Heading2"/>
      </w:pPr>
      <w:r>
        <w:t xml:space="preserve">Подпункт 2</w:t>
      </w:r>
    </w:p>
    <w:p>
      <w:r>
        <w:t xml:space="preserve">2) заведующий отделением надомного обслуживания центра оказания специальных социальных услуг;</w:t>
      </w:r>
    </w:p>
    <w:p>
      <w:pPr>
        <w:pStyle w:val="Heading2"/>
      </w:pPr>
      <w:r>
        <w:t xml:space="preserve">Подпункт 3</w:t>
      </w:r>
    </w:p>
    <w:p>
      <w:r>
        <w:t xml:space="preserve">3) социальный работник по уходу за престарелыми и лицами с инвалидностью;</w:t>
      </w:r>
    </w:p>
    <w:p>
      <w:pPr>
        <w:pStyle w:val="Heading2"/>
      </w:pPr>
      <w:r>
        <w:t xml:space="preserve">Подпункт 4</w:t>
      </w:r>
    </w:p>
    <w:p>
      <w:r>
        <w:t xml:space="preserve">4) социальный работник по уходу за детьми с инвалидностью и лицами старше 18 лет с психоневрологическими заболеваниями;</w:t>
      </w:r>
    </w:p>
    <w:p>
      <w:pPr>
        <w:pStyle w:val="Heading2"/>
      </w:pPr>
      <w:r>
        <w:t xml:space="preserve">Подпункт 5</w:t>
      </w:r>
    </w:p>
    <w:p>
      <w:r>
        <w:t xml:space="preserve">5) консультант по социальной работе;</w:t>
      </w:r>
    </w:p>
    <w:p>
      <w:pPr>
        <w:pStyle w:val="Heading2"/>
      </w:pPr>
      <w:r>
        <w:t xml:space="preserve">Подпункт 6</w:t>
      </w:r>
    </w:p>
    <w:p>
      <w:r>
        <w:t xml:space="preserve">6) специалист по социальной работе;</w:t>
      </w:r>
    </w:p>
    <w:p>
      <w:pPr>
        <w:pStyle w:val="Heading2"/>
      </w:pPr>
      <w:r>
        <w:t xml:space="preserve">Подпункт 7</w:t>
      </w:r>
    </w:p>
    <w:p>
      <w:r>
        <w:t xml:space="preserve">7) социальный работник по оценке и определению потребности в специальных социальных услугах.".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 | С. Тлемесов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Урджарский районный маслихат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