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16 октября 2020 года № ҚР ДСМ-134/2020 "Об утверждении правил определения и перечня видов высокотехнологичной медицинской помощи, а также критерии, согласно которым виды высокотехнологичной медицинской помощи переходят в перечень услуг специализированной медицинской помощи"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01.11.2025. № 216418. редакция от 01.11.2025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16 октября 2020 года № ҚР ДСМ-134/2020 "Об утверждении правил определения и перечня видов высокотехнологичной медицинской помощи, а также критерии, согласно которым виды высокотехнологичной медицинской помощи переходят в перечень услуг специализированной медицинской помощи" (зарегистрирован в Реестре государственной регистрации нормативных правовых актов под № 21471) следующие изменения:</w:t>
      </w:r>
    </w:p>
    <w:p>
      <w:r>
        <w:t xml:space="preserve">в Правилах определения видов высокотехнологичной медицинской помощи, а также критериях, согласно которым виды высокотехнологичной медицинской помощи переходят в перечень услуг специализированной медицинской помощи,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определения видов высокотехнологичной медицинской помощи, а также критерии, согласно которым виды высокотехнологичной медицинской помощи переходят в перечень услуг специализированной медицинской помощи (далее – Правила), разработаны в соответствии с пунктом 4 статьи 124 Кодекса Республики Казахстан "О здоровье народа и системе здравоохранения" (далее – Кодекс) и определяют порядок определения видов высокотехнологичной медицинской помощи (далее – ВТМП), а также критерии, согласно которым виды ВТМП переходят в перечень услуг специализированной медицинской помощи (далее – СМП).";</w:t>
      </w:r>
    </w:p>
    <w:p>
      <w:pPr>
        <w:pStyle w:val="Heading2"/>
      </w:pPr>
      <w:r>
        <w:t xml:space="preserve">Приложение приложение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r>
        <w:t xml:space="preserve">|  | Приложение к приказу Министр здравоохранения Республики Казахстан от 1 ноября 2025 года № 129 |</w:t>
      </w:r>
    </w:p>
    <w:p>
      <w:r>
        <w:t xml:space="preserve">|---|---|</w:t>
      </w:r>
    </w:p>
    <w:p>
      <w:r>
        <w:t xml:space="preserve">|  | Приложение к Правилам определения видов высокотехнологичной медицинской помощи, а также критериям, согласно которым виды высокотехнологичной медицинской помощи переходят в перечень услуг специализированной медицинской помощи |</w:t>
      </w:r>
    </w:p>
    <w:p>
      <w:pPr>
        <w:pStyle w:val="Heading2"/>
      </w:pPr>
      <w:r>
        <w:t xml:space="preserve">Глава Критерии определения видов высокотехнологичной медицинской помощи</w:t>
      </w:r>
    </w:p>
    <w:p>
      <w:r>
        <w:t xml:space="preserve">| І№ | Критерий | Весовой коэффициент | Шкала критерия | Значение | Балл критерия |</w:t>
      </w:r>
    </w:p>
    <w:p>
      <w:r>
        <w:t xml:space="preserve">|---|---|---|---|---|---|</w:t>
      </w:r>
    </w:p>
    <w:p>
      <w:r>
        <w:t xml:space="preserve">| 1 | Инновационность (новизна) | 0,1 | Технология применяется в мире менее 5 лет | 10 | 1 |</w:t>
      </w:r>
    </w:p>
    <w:p>
      <w:r>
        <w:t xml:space="preserve">| Технология применяется в мире 5-10 лет | 7,5 | 0,75 |  |  |  |</w:t>
      </w:r>
    </w:p>
    <w:p>
      <w:r>
        <w:t xml:space="preserve">| Технология применяется в мире более 10 лет | 5 | 0,5 |  |  |  |</w:t>
      </w:r>
    </w:p>
    <w:p>
      <w:r>
        <w:t xml:space="preserve">| Технология применяется в мире более 15 лет | 2,5 | 0,25 |  |  |  |</w:t>
      </w:r>
    </w:p>
    <w:p>
      <w:r>
        <w:t xml:space="preserve">| 2 | Ресурсоемкость | 0,3 | Применение технологии требует дорогостоящих лекарственных средств, медицинских изделий, медицинской техники, значительных трудовых и временных затрат | 10 | 3 |</w:t>
      </w:r>
    </w:p>
    <w:p>
      <w:r>
        <w:t xml:space="preserve">| Применение технологии требует дорогостоящих лекарственных средств, медицинских изделий, медицинской техники | 7,5 | 2,25 |  |  |  |</w:t>
      </w:r>
    </w:p>
    <w:p>
      <w:r>
        <w:t xml:space="preserve">| Применение технологии требует значительных трудовых и временных затрат | 5 | 1,5 |  |  |  |</w:t>
      </w:r>
    </w:p>
    <w:p>
      <w:r>
        <w:t xml:space="preserve">| Применение технологии не требует дорогостоящих лекарственных средств, медицинских изделий, медицинской техники, не требует значительных трудовых и временных затрат | 2,5 | 0,75 |  |  |  |</w:t>
      </w:r>
    </w:p>
    <w:p>
      <w:r>
        <w:t xml:space="preserve">| 3 | Уникальность | 0,1 | Технология не имеет аналогов и (или) альтернативных методов лечения в Казахстане | 10 | 1 |</w:t>
      </w:r>
    </w:p>
    <w:p>
      <w:r>
        <w:t xml:space="preserve">| Технология превосходит по эффективности существующие в Казахстане аналоги и (или) альтернативные методы лечения | 7,5 | 0,75 |  |  |  |</w:t>
      </w:r>
    </w:p>
    <w:p>
      <w:r>
        <w:t xml:space="preserve">| Технология сопоставима по эффективности с существующими в Казахстане аналогами и (или) альтернативными методами лечения | 5 | 0,5 |  |  |  |</w:t>
      </w:r>
    </w:p>
    <w:p>
      <w:r>
        <w:t xml:space="preserve">| Технология уступает по эффективности существующим в Казахстане аналогам и (или) альтернативным методам лечения | 2,5 | 0,25 |  |  |  |</w:t>
      </w:r>
    </w:p>
    <w:p>
      <w:r>
        <w:t xml:space="preserve">| 4 | Сложность | 0,5 | Технология отличается высокой сложностью выполнения и требуют исключительных навыков (например, симультанные, комбинированные или реконструктивные операции). Дополнительно учитываются анатомо-физиологические особенности пациента (применение технологии у детей неонатального возраста), требующие использования специализированного оборудования, адаптированного к особенностям тканей и органов. Такие операции имеют высокий риск осложнений и требуют тщательного планирования | 10 | 5 |</w:t>
      </w:r>
    </w:p>
    <w:p>
      <w:r>
        <w:t xml:space="preserve">| Технологии, имеющие среднюю степень сложности, которые включают несколько этапов и требуют высокого уровня подготовки хирурга и медицинского персонала. Операции могут быть комбинированными или реконструктивными, но проводятся у детей и взрослых пациентов без сложных анатомических или физиологических особенностей | 7,5 | 3,75 |  |  |  |</w:t>
      </w:r>
    </w:p>
    <w:p>
      <w:r>
        <w:t xml:space="preserve">| Технология имеет низкую степень сложности выполнения (например, плановые операции) и проводятся в стандартных условиях с использованием базового хирургического оборудования. Эти операции обычно одноэтапные и имеют низкий уровень риска для пациента | 5 | 2,5 |  |  |  |</w:t>
      </w:r>
    </w:p>
    <w:p>
      <w:r>
        <w:t xml:space="preserve">| Технологии, которые не предполагают сложности, включают в себя очень простые процедуры, проводимые в амбулаторных условиях. Они не требуют специальной подготовки и могут выполняться быстро, с использованием минимального количества ресурсов | 2,5 | 1,25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