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определения размера и порядка расчета взносов банков второго уровня, уплачиваемых в гарантийный фонд</w:t>
      </w:r>
    </w:p>
    <w:p>
      <w:r>
        <w:t xml:space="preserve">Приказ, Правила, Порядок. Министерство национальной экономики Республики Казахстан (Образован Указом Президента РК от 06.08.2014 г. № 875). от 31.10.2025. № 216412. редакция от 31.10.2025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95-1 Предпринимательского кодекса Республики Казахстан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определения размера и порядка расчета взносов банков второго уровня, уплачиваемых в гарантийный фонд.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национальной экономики Республики Казахстан | А. Амрин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Республики Казахстан по регулированию и развитию финансового рынка</w:t>
      </w:r>
    </w:p>
    <w:p>
      <w:r>
        <w:t xml:space="preserve">|  | Утверждены приказом исполняющий обязанности Министра национальной экономики Республики Казахстан от 31 октября 2025 года № 114 |</w:t>
      </w:r>
    </w:p>
    <w:p>
      <w:r>
        <w:t xml:space="preserve">|---|---|</w:t>
      </w:r>
    </w:p>
    <w:p>
      <w:pPr>
        <w:pStyle w:val="Heading2"/>
      </w:pPr>
      <w:r>
        <w:t xml:space="preserve">Глава Правила определения размера и порядка расчета взносов банков второго уровня, уплачиваемых в гарантийный фонд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определения размера и порядка расчета взносов банков второго уровня, уплачиваемых в гарантийный фонд (далее – Правила), разработаны в соответствии с пунктом 4 статьи 95-1 Предпринимательского кодекса Республики Казахстан и определяют размер и порядок расчета взносов банков второго уровня (далее – БВУ), уплачиваемых в гарантийный фонд.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лимит гарантирования – установленная финансовым агентством для БВУ предельная сумма гарантий, в пределах которой БВУ вправе принимать решение о предоставлении предпринимателям гарантии финансового агентства без процедур согласования с финансовым агентством;</w:t>
      </w:r>
    </w:p>
    <w:p>
      <w:pPr>
        <w:pStyle w:val="Heading2"/>
      </w:pPr>
      <w:r>
        <w:t xml:space="preserve">Подпункт 2</w:t>
      </w:r>
    </w:p>
    <w:p>
      <w:r>
        <w:t xml:space="preserve">2) гарантийный фонд – совокупность средств, формируемых за счет республиканского бюджета, местных бюджетов, собственных средств финансового агентства, взносов БВУ и иных юридических лиц, а также сумм комиссий за выпуск гарантии от предпринимателей, предназначенных для предоставления гарантий по кредитам/финансовому лизингу/условным обязательствам/форвардным договорам для проектов с объемом финансирования не более 7 (семь) миллиардов тенге;</w:t>
      </w:r>
    </w:p>
    <w:p>
      <w:pPr>
        <w:pStyle w:val="Heading2"/>
      </w:pPr>
      <w:r>
        <w:t xml:space="preserve">Подпункт 3</w:t>
      </w:r>
    </w:p>
    <w:p>
      <w:r>
        <w:t xml:space="preserve">3) финансовое агентство – акционерное общество "Фонд развития предпринимательства "Даму";</w:t>
      </w:r>
    </w:p>
    <w:p>
      <w:pPr>
        <w:pStyle w:val="Heading2"/>
      </w:pPr>
      <w:r>
        <w:t xml:space="preserve">Подпункт 4</w:t>
      </w:r>
    </w:p>
    <w:p>
      <w:r>
        <w:t xml:space="preserve">4) уполномоченный орган – уполномоченный орган по регулированию, контролю и надзору финансового рынка и финансовых организаций.</w:t>
      </w:r>
    </w:p>
    <w:p>
      <w:pPr>
        <w:pStyle w:val="Heading2"/>
      </w:pPr>
      <w:r>
        <w:t xml:space="preserve">Глава 2 Порядок расчета взносов банков второго уровня в гарантийный фонд</w:t>
      </w:r>
    </w:p>
    <w:p>
      <w:pPr>
        <w:pStyle w:val="Heading2"/>
      </w:pPr>
      <w:r>
        <w:t xml:space="preserve">Пункт 3</w:t>
      </w:r>
    </w:p>
    <w:p>
      <w:r>
        <w:t xml:space="preserve">3. Размер обязательного взноса БВУ рассчитывается по следующей формуле:</w:t>
      </w:r>
    </w:p>
    <w:p>
      <w:r>
        <w:t xml:space="preserve">Размер обязательного взноса = 0,1 % × кредитный портфель.</w:t>
      </w:r>
    </w:p>
    <w:p>
      <w:r>
        <w:t xml:space="preserve">где:</w:t>
      </w:r>
    </w:p>
    <w:p>
      <w:r>
        <w:t xml:space="preserve">размер обязательного взноса – сумма, уплачиваемая БВУ в гарантийный фонд;</w:t>
      </w:r>
    </w:p>
    <w:p>
      <w:r>
        <w:t xml:space="preserve">кредитный портфель – общая сумма кредитного портфеля субъектов малого и среднего предпринимательства каждого БВУ по состоянию на начало года, в котором осуществляется взнос. Размер (сумма) кредитного портфеля субъектов малого и среднего предпринимательства определяется на основании данных уполномоченного органа.</w:t>
      </w:r>
    </w:p>
    <w:p>
      <w:pPr>
        <w:pStyle w:val="Heading2"/>
      </w:pPr>
      <w:r>
        <w:t xml:space="preserve">Пункт 4</w:t>
      </w:r>
    </w:p>
    <w:p>
      <w:r>
        <w:t xml:space="preserve">4. Размер добровольного взноса БВУ определяется по следующей формуле:</w:t>
      </w:r>
    </w:p>
    <w:p>
      <w:r>
        <w:t xml:space="preserve">Размер добровольного взноса = (планируемый объем гарантирования / 2 –лимит гарантирования за счет взноса БВУ) / 10.</w:t>
      </w:r>
    </w:p>
    <w:p>
      <w:r>
        <w:t xml:space="preserve">где:</w:t>
      </w:r>
    </w:p>
    <w:p>
      <w:r>
        <w:t xml:space="preserve">размер добровольного взноса – сумма, подлежащая уплате БВУ в гарантийный фонд в целях увеличения лимита гарантирования;</w:t>
      </w:r>
    </w:p>
    <w:p>
      <w:r>
        <w:t xml:space="preserve">планируемый объем гарантирования – сумма гарантий финансового агентства, которую БВУ планирует использовать в течение финансового года;</w:t>
      </w:r>
    </w:p>
    <w:p>
      <w:r>
        <w:t xml:space="preserve">лимит гарантирования за счет взноса БВУ – лимит, рассчитанный исходя из обязательного взноса, умноженного на 10.</w:t>
      </w:r>
    </w:p>
    <w:p>
      <w:r>
        <w:t xml:space="preserve">При необходимости увеличения планируемого объема гарантирования в течение финансового года БВУ вносит дополнительный добровольный взнос, после чего финансовое агентство обеспечивает пропорциональное увеличение лимита гарантирования за счет собственных средств, выделяемых в качестве софинансирования.</w:t>
      </w:r>
    </w:p>
    <w:p>
      <w:pPr>
        <w:pStyle w:val="Heading2"/>
      </w:pPr>
      <w:r>
        <w:t xml:space="preserve">Пункт 5</w:t>
      </w:r>
    </w:p>
    <w:p>
      <w:r>
        <w:t xml:space="preserve">5. Лимит гарантирования на БВУ устанавливается по следующей формуле:</w:t>
      </w:r>
    </w:p>
    <w:p>
      <w:r>
        <w:t xml:space="preserve">Лимит гарантирования на БВУ = (взносы БВУ + софинансирование финансового агентства) × 10.</w:t>
      </w:r>
    </w:p>
    <w:p>
      <w:r>
        <w:t xml:space="preserve">где:</w:t>
      </w:r>
    </w:p>
    <w:p>
      <w:r>
        <w:t xml:space="preserve">взносы БВУ – сумма обязательного и добровольного взносов, уплачиваемых БВУ в гарантийный фонд;</w:t>
      </w:r>
    </w:p>
    <w:p>
      <w:r>
        <w:t xml:space="preserve">софинансирование финансового агентства – сумма собственных средств финансового агентства, направляемая на паритетной основе в размере, равном совокупным взносам БВУ, для целей установления лимита гарантирования на данный БВУ.</w:t>
      </w:r>
    </w:p>
    <w:p>
      <w:r>
        <w:t xml:space="preserve">Лимит гарантирования формируется на условиях софинансирования за счет совокупного участия средств БВУ и финансового агентства.</w:t>
      </w:r>
    </w:p>
    <w:p>
      <w:pPr>
        <w:pStyle w:val="Heading2"/>
      </w:pPr>
      <w:r>
        <w:t xml:space="preserve">Пункт 6</w:t>
      </w:r>
    </w:p>
    <w:p>
      <w:r>
        <w:t xml:space="preserve">6. Обязательство БВУ по уплате обязательного взноса в соответствии с пунктом 3 настоящих Правил возникает с года, следующего за годом введения системы гарантирования обязательств субъектов частного предпринимательства, за исключением БВУ, заключивших двустороннее соглашение с финансовым агентством в году введения системы гарантирования обязательств субъектов частного предпринимательства.</w:t>
      </w:r>
    </w:p>
    <w:p>
      <w:pPr>
        <w:pStyle w:val="Heading2"/>
      </w:pPr>
      <w:r>
        <w:t xml:space="preserve">Пункт 7</w:t>
      </w:r>
    </w:p>
    <w:p>
      <w:r>
        <w:t xml:space="preserve">7. БВУ, заключившие двустороннее соглашение с финансовым агентством об установлении лимита гарантирования в году введения системы гарантирования обязательств субъектов частного предпринимательства, уплачивают обязательный взнос в размере равном сумме выделенных финансовым агентством собственных средств для установления лимита гарантирования на данный БВУ либо в размере 0,286 % х общую сумму кредитного портфеля субъектов малого и среднего предпринимательства по состоянию на начало года, на основании данных уполномоченного органа только в году введения системы гарантирования обязательств субъектов частного предпринимательства. В последующие годы размер обязательного взноса рассчитывается в соответствии с пунктом 3 настоящих Правил.</w:t>
      </w:r>
    </w:p>
    <w:p>
      <w:pPr>
        <w:pStyle w:val="Heading2"/>
      </w:pPr>
      <w:r>
        <w:t xml:space="preserve">Пункт 8</w:t>
      </w:r>
    </w:p>
    <w:p>
      <w:r>
        <w:t xml:space="preserve">8. Суммы, подлежащие уплате в качестве обязательных взносов от БВУ, уплачиваются единовременно либо несколькими платежами в порядке, предусмотренном двусторонним соглашением между БВУ и финансовым агентством. При этом лимит гарантирования увеличивается пропорционально фактически уплаченным суммам.</w:t>
      </w:r>
    </w:p>
    <w:p>
      <w:pPr>
        <w:pStyle w:val="Heading2"/>
      </w:pPr>
      <w:r>
        <w:t xml:space="preserve">Пункт 9</w:t>
      </w:r>
    </w:p>
    <w:p>
      <w:r>
        <w:t xml:space="preserve">9. Размеры обязательных взносов БВУ, уплачиваемых в гарантийный фонд, подлежат корректировке в сторону увеличения по итогам финансового года в случае наличия одного или нескольких из следующих факторов риска:</w:t>
      </w:r>
    </w:p>
    <w:p>
      <w:r>
        <w:t xml:space="preserve">| № п/п | Основание для корректировки | Пороговое значение | Размер надбавки к ставке взноса |</w:t>
      </w:r>
    </w:p>
    <w:p>
      <w:r>
        <w:t xml:space="preserve">|---|---|---|---|</w:t>
      </w:r>
    </w:p>
    <w:p>
      <w:r>
        <w:t xml:space="preserve">| 1 | Превышение объема выплаченных финансовым агентством требований БВУ по портфельным гарантиям от остатка задолженности гарантийного портфеля | свыше 7 % до 10 % включительно | +0,02 % |</w:t>
      </w:r>
    </w:p>
    <w:p>
      <w:r>
        <w:t xml:space="preserve">| свыше 10 % до 15 % включительно | +0,05% |  |  |</w:t>
      </w:r>
    </w:p>
    <w:p>
      <w:r>
        <w:t xml:space="preserve">| свыше 15 % | +0,10 % |  |  |</w:t>
      </w:r>
    </w:p>
    <w:p>
      <w:r>
        <w:t xml:space="preserve">| 2 | Превышение доли NPL90+ по кредитам, выданным с гарантией финансового агентства, от остатка задолженности по основному долгу | свыше 7 % до 10 % включительно | +0,02 % |</w:t>
      </w:r>
    </w:p>
    <w:p>
      <w:r>
        <w:t xml:space="preserve">| свыше 10 % до 20 % включительно | +0,05 % |  |  |</w:t>
      </w:r>
    </w:p>
    <w:p>
      <w:r>
        <w:t xml:space="preserve">| свыше 20 % | +0,10 % |  |  |</w:t>
      </w:r>
    </w:p>
    <w:p>
      <w:r>
        <w:t xml:space="preserve">| 3 | Превышение доли кредитов, использованных не по целевому назначению, от общей суммы кредитов, выданных под гарантию финансового агентства | свыше 20 % до 30 % включительно | +0,05 % |</w:t>
      </w:r>
    </w:p>
    <w:p>
      <w:r>
        <w:t xml:space="preserve">| свыше 30 % | +0,10 % |  |  |</w:t>
      </w:r>
    </w:p>
    <w:p>
      <w:pPr>
        <w:pStyle w:val="Heading2"/>
      </w:pPr>
      <w:r>
        <w:t xml:space="preserve">Пункт 10</w:t>
      </w:r>
    </w:p>
    <w:p>
      <w:r>
        <w:t xml:space="preserve">10. В случае наличия у БВУ одновременно нескольких факторов риска, предусмотренных пунктом 9 настоящих Правил, размеры надбавок суммируются.</w:t>
      </w:r>
    </w:p>
    <w:p>
      <w:r>
        <w:t xml:space="preserve">При этом совокупный размер корректировки не может превышать 0,15 процентного пункта к ставке взноса, определенной в соответствии с пунктом 3 настоящих Правил.</w:t>
      </w:r>
    </w:p>
    <w:p>
      <w:r>
        <w:t xml:space="preserve">Финансовое агентство уведомляет БВУ о выявленных факторах риска, влияющих на увеличение размера взноса, в течение 30 (тридцать) рабочих дней с момента их выявления. БВУ при необходимости предоставляет возражения относительно указанных факторов в течение 10 (десять) рабочих дней с момента получения соответствующего уведомления от финансового агентства.</w:t>
      </w:r>
    </w:p>
    <w:p>
      <w:pPr>
        <w:pStyle w:val="Heading2"/>
      </w:pPr>
      <w:r>
        <w:t xml:space="preserve">Пункт 11</w:t>
      </w:r>
    </w:p>
    <w:p>
      <w:r>
        <w:t xml:space="preserve">11. При устранении БВУ выявленных факторов риска и приведении показателей в соответствие с установленными пороговыми значениями до конца финансового года, размер взноса в следующем финансовом году определяется без применения надбавок, указанных в пункте 9 настоящих Правил.</w:t>
      </w:r>
    </w:p>
    <w:p>
      <w:r>
        <w:t xml:space="preserve">Если факторы риска, устраненные в предыдущем периоде, возникают вновь в последующих периодах, надбавки применяются в общем порядке, независимо от их временного устранения в предыдущем периоде.</w:t>
      </w:r>
    </w:p>
    <w:p>
      <w:pPr>
        <w:pStyle w:val="Heading2"/>
      </w:pPr>
      <w:r>
        <w:t xml:space="preserve">Пункт 12</w:t>
      </w:r>
    </w:p>
    <w:p>
      <w:r>
        <w:t xml:space="preserve">12. При частичном или полном неиспользовании БВУ установленного лимита гарантирования до конца финансового года возврат части взноса не осуществляется.</w:t>
      </w:r>
    </w:p>
    <w:p>
      <w:pPr>
        <w:pStyle w:val="Heading2"/>
      </w:pPr>
      <w:r>
        <w:t xml:space="preserve">Пункт 13</w:t>
      </w:r>
    </w:p>
    <w:p>
      <w:r>
        <w:t xml:space="preserve">13. Неиспользованный лимит гарантирования, в году введения системы гарантирования обязательств субъектов частного предпринимательства и установленный за счет взноса, уплаченного БВУ, переносится на следующий финансовый год.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