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16 июля 2021 года № ҚР ДСМ-61 "Об утверждении правил осуществления сооплаты"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03.10.2025. № 215251. редакция от 03.10.2025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16 июля 2021 года № ҚР ДСМ-61 "Об утверждении правил осуществления сооплаты" (зарегистрирован в Реестре государственной регистрации нормативных правовых актов под № 23589)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93) статьи 7 Кодекса Республики Казахстан "О здоровье народа и системе здравоохранения", ПРИКАЗЫВАЮ: ";</w:t>
      </w:r>
    </w:p>
    <w:p>
      <w:r>
        <w:t xml:space="preserve">Правила осуществления сооплаты,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приказ исполняющего обязанности Министра здравоохранения Республики Казахстан от 1 августа 2023 года № 143 "О приостановлении действия приказа Министра здравоохранения Республики Казахстан от 16 июля 2021 года № ҚР ДСМ-61 "Об утверждении правил осуществления сооплаты" (зарегистрирован в Реестре государственной регистрации нормативных правовых актов под № 33258).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лекарственной политики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здравоохранения Республики Казахстан | Т. Мұратов |</w:t>
      </w:r>
    </w:p>
    <w:p>
      <w:r>
        <w:t xml:space="preserve">|---|---|</w:t>
      </w:r>
    </w:p>
    <w:p>
      <w:r>
        <w:t xml:space="preserve">|  | Приложение к приказу исполняющий обязанности Министра здравоохранения Республики Казахстан от 3 октября 2025 года № 104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16 июля 2021 года № ҚР ДСМ-61 |</w:t>
      </w:r>
    </w:p>
    <w:p>
      <w:pPr>
        <w:pStyle w:val="Heading2"/>
      </w:pPr>
      <w:r>
        <w:t xml:space="preserve">Глава Правила осуществления сооплаты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осуществления сооплаты (далее – Правила) разработаны в соответствии с подпунктом 93) статьи 7 Кодекса Республики Казахстан "О здоровье народа и системе здравоохранения" и определяют порядок осуществления сооплаты.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информационная система учета амбулаторного лекарственного обеспечения (далее – ИСЛО) – информационная система, определяемая уполномоченным органом в области здравоохранения для автоматизации учета выписки рецептов, отпуска товара поставщикам фармацевтической услуги или услуги по учету и реализации лекарственных средств и медицинских изделий в рамках гарантированного объема бесплатной медицинской помощи (далее – ГОБМП) и (или) в системе обязательного социального медицинского страхования (далее – ОСМС);</w:t>
      </w:r>
    </w:p>
    <w:p>
      <w:pPr>
        <w:pStyle w:val="Heading2"/>
      </w:pPr>
      <w:r>
        <w:t xml:space="preserve">Подпункт 2</w:t>
      </w:r>
    </w:p>
    <w:p>
      <w:r>
        <w:t xml:space="preserve">2) фонд социального медицинского страхования (далее – фонд)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предусмотренных договором закупа медицинских услуг, и иные функции, определенные законами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сооплата – оплата разницы в стоимости лекарственных средств и (или) медицинских изделий и установленной предельной цене их возмещения в рамках ГОБМП и (или) в системе ОСМС на амбулаторном уровне, осуществляемая в добровольном порядке;</w:t>
      </w:r>
    </w:p>
    <w:p>
      <w:pPr>
        <w:pStyle w:val="Heading2"/>
      </w:pPr>
      <w:r>
        <w:t xml:space="preserve">Подпункт 4</w:t>
      </w:r>
    </w:p>
    <w:p>
      <w:r>
        <w:t xml:space="preserve">4) предельная цена возмещения лекарственных средств и медицинских изделий в рамках сооплаты – стоимость реализации лекарственных средств и (или) медицинских изделий, не выше предельной цены на международное непатентованное наименование лекарственных средств и техническую характеристику медицинского изделия в рамках ГОБМП и в системе ОСМС;</w:t>
      </w:r>
    </w:p>
    <w:p>
      <w:pPr>
        <w:pStyle w:val="Heading2"/>
      </w:pPr>
      <w:r>
        <w:t xml:space="preserve">Подпункт 5</w:t>
      </w:r>
    </w:p>
    <w:p>
      <w:r>
        <w:t xml:space="preserve">5) субъекты в сфере обращения лекарственных средств и медицинских изделий – физические или юридические лица, осуществляющие фармацевтическую деятельность;</w:t>
      </w:r>
    </w:p>
    <w:p>
      <w:pPr>
        <w:pStyle w:val="Heading2"/>
      </w:pPr>
      <w:r>
        <w:t xml:space="preserve">Подпункт 6</w:t>
      </w:r>
    </w:p>
    <w:p>
      <w:r>
        <w:t xml:space="preserve">6) международное непатентованное наименование лекарственного средства – название лекарственного средства, рекомендованное Всемирной организацией здравоохранения;</w:t>
      </w:r>
    </w:p>
    <w:p>
      <w:pPr>
        <w:pStyle w:val="Heading2"/>
      </w:pPr>
      <w:r>
        <w:t xml:space="preserve">Подпункт 7</w:t>
      </w:r>
    </w:p>
    <w:p>
      <w:r>
        <w:t xml:space="preserve">7) торговое наименование лекарственного средства – название, под которым регистрируется лекарственное средство;</w:t>
      </w:r>
    </w:p>
    <w:p>
      <w:pPr>
        <w:pStyle w:val="Heading2"/>
      </w:pPr>
      <w:r>
        <w:t xml:space="preserve">Подпункт 8</w:t>
      </w:r>
    </w:p>
    <w:p>
      <w:r>
        <w:t xml:space="preserve">8) информационная система сооплаты субъектов в сфере обращения лекарственных средств и медицинских изделий и (или) консорциума (далее – ИСС) – информационная система (программный продукт), используемая для автоматизации процессов амбулаторно-лекарственного обеспечения по сооплате, подлежащая обязательному испытанию и подтверждению соответствия требованиям законодательства Республики Казахстан в сфере информационной безопасности до ее внедрения и эксплуатации;</w:t>
      </w:r>
    </w:p>
    <w:p>
      <w:pPr>
        <w:pStyle w:val="Heading2"/>
      </w:pPr>
      <w:r>
        <w:t xml:space="preserve">Подпункт 9</w:t>
      </w:r>
    </w:p>
    <w:p>
      <w:r>
        <w:t xml:space="preserve">9) консорциум – это временный добровольный равноправный союз (объединение) на основе договора о совместной хозяйственной деятельности, в котором юридические лица объединяют те или иные ресурсы и координируют усилия для решения конкретных хозяйственных задач;</w:t>
      </w:r>
    </w:p>
    <w:p>
      <w:pPr>
        <w:pStyle w:val="Heading2"/>
      </w:pPr>
      <w:r>
        <w:t xml:space="preserve">Подпункт 10</w:t>
      </w:r>
    </w:p>
    <w:p>
      <w:r>
        <w:t xml:space="preserve">10) торговое наименование медицинского изделия – название, под которым регистрируется медицинское изделие;</w:t>
      </w:r>
    </w:p>
    <w:p>
      <w:pPr>
        <w:pStyle w:val="Heading2"/>
      </w:pPr>
      <w:r>
        <w:t xml:space="preserve">Подпункт 11</w:t>
      </w:r>
    </w:p>
    <w:p>
      <w:r>
        <w:t xml:space="preserve">11) предельная цена на международное непатентованное наименование лекарственного средства или техническую характеристику изделия медицинского назначения, медицинских изделий для диагностики вне живого организма (in vitro), производимых на территории Республики Казахстан в рамках долгосрочных договоров поставки, заключенных с Единым дистрибьютором, в рамках гарантированного объема бесплатной медицинской помощи и (или) в системе обязательного социального медицинского страхования – цена на международное непатентованное наименование лекарственного средства или техническую характеристику изделия медицинского назначения, медицинских изделий для диагностики вне живого организма (in vitro), производимых на территории Республики Казахстан в рамках долгосрочных договоров поставки, заключенных с Единым дистрибьютором, зарегистрированного в Республике Казахстан, выше которой не может быть произведен закуп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>
      <w:pPr>
        <w:pStyle w:val="Heading2"/>
      </w:pPr>
      <w:r>
        <w:t xml:space="preserve">Подпункт 12</w:t>
      </w:r>
    </w:p>
    <w:p>
      <w:r>
        <w:t xml:space="preserve">12) мобильное приложение "электронного правительства" – программный продукт, установленный и запущенный на абонентском устройстве сотовой связи и предоставляющий доступ к государственным услугам и услугам, оказываемым в электронной форме, посредством сотовой связи и Интернет.</w:t>
      </w:r>
    </w:p>
    <w:p>
      <w:pPr>
        <w:pStyle w:val="Heading2"/>
      </w:pPr>
      <w:r>
        <w:t xml:space="preserve">Глава 2 Порядок осуществления сооплаты</w:t>
      </w:r>
    </w:p>
    <w:p>
      <w:pPr>
        <w:pStyle w:val="Heading2"/>
      </w:pPr>
      <w:r>
        <w:t xml:space="preserve">Пункт 3</w:t>
      </w:r>
    </w:p>
    <w:p>
      <w:r>
        <w:t xml:space="preserve">3. Cооплата лекарственных средств и (или) медицинских изделий осуществляется при бесплатном и (или) льготном амбулаторном обеспечении лекарственными средствами и (или) медицинскими изделиями отдельных категорий граждан Республики Казахстан с определенными заболеваниями (состояниями) в рамках ГОБМП и (или) в системе ОСМС.</w:t>
      </w:r>
    </w:p>
    <w:p>
      <w:pPr>
        <w:pStyle w:val="Heading2"/>
      </w:pPr>
      <w:r>
        <w:t xml:space="preserve">Пункт 4</w:t>
      </w:r>
    </w:p>
    <w:p>
      <w:r>
        <w:t xml:space="preserve">4. Пациентам или их законным представителям при обеспечении лекарственными средствами и (или) медицинскими изделиями предоставляется право выбора одного из следующих способов:</w:t>
      </w:r>
    </w:p>
    <w:p>
      <w:pPr>
        <w:pStyle w:val="Heading2"/>
      </w:pPr>
      <w:r>
        <w:t xml:space="preserve">Подпункт 1</w:t>
      </w:r>
    </w:p>
    <w:p>
      <w:r>
        <w:t xml:space="preserve">1) бесплатное обеспечение лекарственными средствами и (или) медицинскими изделиями через аптечные пункты в организациях здравоохранения, оказывающих первичную медико-санитарную и (или) консультативно-диагностическую помощь, а также через передвижные аптечные пункты, функционирующие в сельских населенных пунктах;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обеспечение лекарственными средствами и (или) медицинскими изделиями с применением сооплаты через субъекты в сфере обращения лекарственных средств и медицинских изделий, имеющих договор с фондом.</w:t>
      </w:r>
    </w:p>
    <w:p>
      <w:r>
        <w:t xml:space="preserve">Медицинские работники при выписке рецепта в ИСЛО получают согласие пациента или его законного представителя на выбор способа сооплаты.</w:t>
      </w:r>
    </w:p>
    <w:p>
      <w:pPr>
        <w:pStyle w:val="Heading2"/>
      </w:pPr>
      <w:r>
        <w:t xml:space="preserve">Пункт 5</w:t>
      </w:r>
    </w:p>
    <w:p>
      <w:r>
        <w:t xml:space="preserve">5. После выписки медицинским работником рецепта на амбулаторное лекарственное обеспечение пациент или его законный представитель информируется в личном кабинете мобильного приложения "электронного правительства" и (или) в мобильном приложении ИСС и (или) интернет-ресурсе ИСС, имеющих функционал электронных рецептов и интегрированных с ИСЛО, о зарегистрированных торговых наименованиях лекарственных средств и (или) медицинских изделий, соответствующих международному непатентованному наименованию, лекарственной форме и дозировке, адреса аптек, участвующих в рамках сооплаты и наличии в них лекарственных средств и (или) медицинских изделий с указанием их стоимости и размера доплаты в рамках сооплаты.</w:t>
      </w:r>
    </w:p>
    <w:p>
      <w:pPr>
        <w:pStyle w:val="Heading2"/>
      </w:pPr>
      <w:r>
        <w:t xml:space="preserve">Пункт 6</w:t>
      </w:r>
    </w:p>
    <w:p>
      <w:r>
        <w:t xml:space="preserve">6. Обеспечение пациента или его законного представителя лекарственным средством и (или) медицинским изделием осуществляется по международным непатентованным наименованиям с учетом лекарственной формы и дозировки посредством сканирования электронного рецепта (QR-кода), предъявляемого через сервис "Социальный кошелек" в мобильном приложении "электронного правительства" и (или) мобильные приложении ИСС и (или) интернет-ресурса ИСС, имеющих функционал электронных рецептов и интегрированных с ИСЛО.</w:t>
      </w:r>
    </w:p>
    <w:p>
      <w:pPr>
        <w:pStyle w:val="Heading2"/>
      </w:pPr>
      <w:r>
        <w:t xml:space="preserve">Пункт 7</w:t>
      </w:r>
    </w:p>
    <w:p>
      <w:r>
        <w:t xml:space="preserve">7. Реализация сооплаты обеспечивается посредством ИСС с информированием пациента или его законного представителя о возможности получения лекарственных средств и (или) медицинских изделий согласно пункту 5 к настоящим Правилам.</w:t>
      </w:r>
    </w:p>
    <w:p>
      <w:pPr>
        <w:pStyle w:val="Heading2"/>
      </w:pPr>
      <w:r>
        <w:t xml:space="preserve">Пункт 8</w:t>
      </w:r>
    </w:p>
    <w:p>
      <w:r>
        <w:t xml:space="preserve">8. ИСС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передачу информации в мобильное приложение "электронного правительства" и (или) в мобильное приложение ИСС и (или) интернет-ресурсы ИСС, имеющих функционал электронных рецептов и интегрированных с ИСЛО, об аптеках, участвующих в сооплате, наличии в них лекарственных средств и (или) медицинских изделий с указанием их стоимости и размера доплаты в рамках сооплаты;</w:t>
      </w:r>
    </w:p>
    <w:p>
      <w:pPr>
        <w:pStyle w:val="Heading2"/>
      </w:pPr>
      <w:r>
        <w:t xml:space="preserve">Подпункт 2</w:t>
      </w:r>
    </w:p>
    <w:p>
      <w:r>
        <w:t xml:space="preserve">2) заключение договора сооплаты;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формирование, согласование либо отклонение сводного реестра обеспеченных рецептов субъектами в сфере обращения лекарственных средств и медицинских изделий и (или) консорциумом по форме согласно приложению 1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формирование и согласование акта оплаты фармацевтических услуг субъектами в сфере обращения лекарственных средств и медицинских изделий и (или) консорциумом по форме согласно приложению 2 к настоящим Правилам;</w:t>
      </w:r>
    </w:p>
    <w:p>
      <w:pPr>
        <w:pStyle w:val="Heading2"/>
      </w:pPr>
      <w:r>
        <w:t xml:space="preserve">Подпункт 5</w:t>
      </w:r>
    </w:p>
    <w:p>
      <w:r>
        <w:t xml:space="preserve">5) автоматизированную передачу данных в ИСЛО об обеспечении рецепта по факту выдачи пациенту лекарственного средства и (или) медицинского изделия, с указанием даты отпуска и реквизитов чека контрольно-кассовой машины, подтверждающего факт отпуска и статуса кода маркировки отпущенного лекарственного средства и (или) медицинского изделия.</w:t>
      </w:r>
    </w:p>
    <w:p>
      <w:pPr>
        <w:pStyle w:val="Heading2"/>
      </w:pPr>
      <w:r>
        <w:t xml:space="preserve">Пункт 9</w:t>
      </w:r>
    </w:p>
    <w:p>
      <w:r>
        <w:t xml:space="preserve">9. Консорциум и (или) субъекты в сфере обращения лекарственных средств и медицинских изделий, подают в фонд заявку на заключение договора сооплаты.</w:t>
      </w:r>
    </w:p>
    <w:p>
      <w:pPr>
        <w:pStyle w:val="Heading2"/>
      </w:pPr>
      <w:r>
        <w:t xml:space="preserve">Пункт 10</w:t>
      </w:r>
    </w:p>
    <w:p>
      <w:r>
        <w:t xml:space="preserve">10. Субъекты в сфере обращения лекарственных средств и медицинских изделий в рамках сооплаты соответствуют следующим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наличие аптечной сети, включающей не менее 70 (семидесяти) аптек, расположенных не менее чем в 3 (трех) областях, городах республиканского значения и/или столице;</w:t>
      </w:r>
    </w:p>
    <w:p>
      <w:pPr>
        <w:pStyle w:val="Heading2"/>
      </w:pPr>
      <w:r>
        <w:t xml:space="preserve">Подпункт 2</w:t>
      </w:r>
    </w:p>
    <w:p>
      <w:r>
        <w:t xml:space="preserve">2) наличие ИСС либо подключение к ИСС, соответствующей функциям и требованиям, указанным в пунктах 8 и 12 настоящих Правил, с обеспечением технической возможности работы каждой аптеки, входящей в аптечную сеть субъекта в сфере обращения лекарственных средств и медицинских изделий с данной системой.</w:t>
      </w:r>
    </w:p>
    <w:p>
      <w:pPr>
        <w:pStyle w:val="Heading2"/>
      </w:pPr>
      <w:r>
        <w:t xml:space="preserve">Пункт 11</w:t>
      </w:r>
    </w:p>
    <w:p>
      <w:r>
        <w:t xml:space="preserve">11. Консорциум соответствует следующим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участники консорциума совместно обеспечивают реализацию сооплаты через аптечную сеть, включающую не менее 200 (двести) аптек, расположенных не менее чем в 5 (пяти) областях, городах республиканского значения и/или столице;</w:t>
      </w:r>
    </w:p>
    <w:p>
      <w:pPr>
        <w:pStyle w:val="Heading2"/>
      </w:pPr>
      <w:r>
        <w:t xml:space="preserve">Подпункт 2</w:t>
      </w:r>
    </w:p>
    <w:p>
      <w:r>
        <w:t xml:space="preserve">2) наличие ИСС либо подключение к ИСС, соответствующей функциям и требованиям, указанным в пунктах 8 и 12 настоящих Правил, с обеспечением технической возможности работы каждой аптеки, входящей в аптечную сеть субъекта в сфере обращения лекарственных средств и медицинских изделий с данной системой;</w:t>
      </w:r>
    </w:p>
    <w:p>
      <w:pPr>
        <w:pStyle w:val="Heading2"/>
      </w:pPr>
      <w:r>
        <w:t xml:space="preserve">Подпункт 3</w:t>
      </w:r>
    </w:p>
    <w:p>
      <w:r>
        <w:t xml:space="preserve">3) наличие заключенного договора о создании консорциума, предусматривающего равные условия возмещения каждому участнику консорциума в рамках сооплаты.</w:t>
      </w:r>
    </w:p>
    <w:p>
      <w:pPr>
        <w:pStyle w:val="Heading2"/>
      </w:pPr>
      <w:r>
        <w:t xml:space="preserve">Пункт 12</w:t>
      </w:r>
    </w:p>
    <w:p>
      <w:r>
        <w:t xml:space="preserve">12. ИСС допускается к использованию в рамках сооплаты при наличии акта или протокола испытаний, подтверждающих соответствие требованиям информационной безопасности.</w:t>
      </w:r>
    </w:p>
    <w:p>
      <w:pPr>
        <w:pStyle w:val="Heading2"/>
      </w:pPr>
      <w:r>
        <w:t xml:space="preserve">Пункт 13</w:t>
      </w:r>
    </w:p>
    <w:p>
      <w:r>
        <w:t xml:space="preserve">13. Фонд рассматривает представленную заявку в срок не более 5 (пяти) рабочих дней. В случае соответствия критериям, указанных в пунктах 10 и 11 настоящих Правил, фонд заключает договор с субъектом в сфере обращения лекарств и медицинских изделий и (или) консорциумом, от имени которого выступает один из субъектов в сфере обращения лекарственных средств и медицинских изделий (далее – официальный представитель консорциума).</w:t>
      </w:r>
    </w:p>
    <w:p>
      <w:pPr>
        <w:pStyle w:val="Heading2"/>
      </w:pPr>
      <w:r>
        <w:t xml:space="preserve">Пункт 14</w:t>
      </w:r>
    </w:p>
    <w:p>
      <w:r>
        <w:t xml:space="preserve">14. Официальный представитель консорциума определяется участниками консорциума на основании договора о создании консорциума.</w:t>
      </w:r>
    </w:p>
    <w:p>
      <w:r>
        <w:t xml:space="preserve">В договоре о создании консорциума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 участника, уполномоченного представлять интересы консорциума в отношениях с фондом;</w:t>
      </w:r>
    </w:p>
    <w:p>
      <w:pPr>
        <w:pStyle w:val="Heading2"/>
      </w:pPr>
      <w:r>
        <w:t xml:space="preserve">Подпункт 2</w:t>
      </w:r>
    </w:p>
    <w:p>
      <w:r>
        <w:t xml:space="preserve">2) объем полномочий официального представителя, включая право подписания договора с фондом, предоставления сводного реестра и акта оплаты;</w:t>
      </w:r>
    </w:p>
    <w:p>
      <w:pPr>
        <w:pStyle w:val="Heading2"/>
      </w:pPr>
      <w:r>
        <w:t xml:space="preserve">Подпункт 3</w:t>
      </w:r>
    </w:p>
    <w:p>
      <w:r>
        <w:t xml:space="preserve">3) порядок принятия решений о смене официального представителя консорциума;</w:t>
      </w:r>
    </w:p>
    <w:p>
      <w:pPr>
        <w:pStyle w:val="Heading2"/>
      </w:pPr>
      <w:r>
        <w:t xml:space="preserve">Подпункт 4</w:t>
      </w:r>
    </w:p>
    <w:p>
      <w:r>
        <w:t xml:space="preserve">4) ответственность официального представителя перед другими участниками консорциума за достоверность представляемой информации и исполнение обязательств по договору сооплаты.</w:t>
      </w:r>
    </w:p>
    <w:p>
      <w:r>
        <w:t xml:space="preserve">Фонд не вмешивается во внутренние договорные отношения участников консорциума, касающиеся выбора, замены или отзыва официального представителя, а также порядка распределения средств и принятия решений.</w:t>
      </w:r>
    </w:p>
    <w:p>
      <w:pPr>
        <w:pStyle w:val="Heading2"/>
      </w:pPr>
      <w:r>
        <w:t xml:space="preserve">Пункт 15</w:t>
      </w:r>
    </w:p>
    <w:p>
      <w:r>
        <w:t xml:space="preserve">15. Форма договора сооплаты утверждается исполнительным органом Фонда, в соответствии с гражданским законодательством и законодательством в сфере здравоохранения.</w:t>
      </w:r>
    </w:p>
    <w:p>
      <w:pPr>
        <w:pStyle w:val="Heading2"/>
      </w:pPr>
      <w:r>
        <w:t xml:space="preserve">Пункт 16</w:t>
      </w:r>
    </w:p>
    <w:p>
      <w:r>
        <w:t xml:space="preserve">16. Субъекты в сфере обращения лекарственных средств и медицинских изделий и (или) официальный представитель консорциума не использует сведения, собранные в рамках реализации сооплаты, в иных коммерческих целях, не предусмотренных сооплатой.</w:t>
      </w:r>
    </w:p>
    <w:p>
      <w:pPr>
        <w:pStyle w:val="Heading2"/>
      </w:pPr>
      <w:r>
        <w:t xml:space="preserve">Пункт 17</w:t>
      </w:r>
    </w:p>
    <w:p>
      <w:r>
        <w:t xml:space="preserve">17. Оператор мобильного приложения "электронного правительства" предоставляет возможность интеграции (обмен данными) в рамках сооплаты субъектам в сфере обращения лекарственных средств и медицинских изделий и (или) официальному представителю консорциума, с которым фонд заключил договор сооплаты.</w:t>
      </w:r>
    </w:p>
    <w:p>
      <w:pPr>
        <w:pStyle w:val="Heading2"/>
      </w:pPr>
      <w:r>
        <w:t xml:space="preserve">Глава 3 Порядок оплаты стоимости фармацевтических услуг в рамках сооплаты</w:t>
      </w:r>
    </w:p>
    <w:p>
      <w:pPr>
        <w:pStyle w:val="Heading2"/>
      </w:pPr>
      <w:r>
        <w:t xml:space="preserve">Пункт 18</w:t>
      </w:r>
    </w:p>
    <w:p>
      <w:r>
        <w:t xml:space="preserve">18. Фонд оплачивает фармацевтические услуги в рамках сооплаты субъектам в сфере обращения лекарственных средств и медицинских изделий и (или) официальному представителю консорциума за фактически оказанные фармацевтические услуги, за счет бюджетных средств и активов фонда на основании договора сооплаты.</w:t>
      </w:r>
    </w:p>
    <w:p>
      <w:pPr>
        <w:pStyle w:val="Heading2"/>
      </w:pPr>
      <w:r>
        <w:t xml:space="preserve">Пункт 19</w:t>
      </w:r>
    </w:p>
    <w:p>
      <w:r>
        <w:t xml:space="preserve">19. Основанием для оплаты стоимости фармацевтических услуг субъектам в сфере обращения лекарственных средств и медицинских изделий и (или) официальному представителю консорциума является:</w:t>
      </w:r>
    </w:p>
    <w:p>
      <w:pPr>
        <w:pStyle w:val="Heading2"/>
      </w:pPr>
      <w:r>
        <w:t xml:space="preserve">Подпункт 1</w:t>
      </w:r>
    </w:p>
    <w:p>
      <w:r>
        <w:t xml:space="preserve">1) сводный реестр обеспеченных рецептов субъектами в сфере обращения лекарственных средств и медицинских изделий и (или) консорциумом по форме согласно приложению 1 к настоящим Правилам (далее – сводный реестр);</w:t>
      </w:r>
    </w:p>
    <w:p>
      <w:pPr>
        <w:pStyle w:val="Heading2"/>
      </w:pPr>
      <w:r>
        <w:t xml:space="preserve">Подпункт 2</w:t>
      </w:r>
    </w:p>
    <w:p>
      <w:r>
        <w:t xml:space="preserve">2) акт оплаты фармацевтических услуг субъектами в сфере обращения лекарственных средств и медицинских изделий и (или) консорциумом по форме согласно приложению 2 к настоящим Правилам (далее – акт оплаты).</w:t>
      </w:r>
    </w:p>
    <w:p>
      <w:pPr>
        <w:pStyle w:val="Heading2"/>
      </w:pPr>
      <w:r>
        <w:t xml:space="preserve">Пункт 20</w:t>
      </w:r>
    </w:p>
    <w:p>
      <w:r>
        <w:t xml:space="preserve">20. Отчетным периодом для оплаты стоимости фармацевтических услуг в рамках сооплаты является календарный месяц. Оплата за декабрь текущего года производится в следующем финансовом году.</w:t>
      </w:r>
    </w:p>
    <w:p>
      <w:r>
        <w:t xml:space="preserve">По соглашению между фондом и субъектом в сфере обращения лекарственных средств и медицинских изделий и (или) официальным представителем консорциума, при наличии технических возможностей и финансовых средств, продолжительность отчетного периода может устанавливаться менее календарного месяца.</w:t>
      </w:r>
    </w:p>
    <w:p>
      <w:pPr>
        <w:pStyle w:val="Heading2"/>
      </w:pPr>
      <w:r>
        <w:t xml:space="preserve">Пункт 21</w:t>
      </w:r>
    </w:p>
    <w:p>
      <w:r>
        <w:t xml:space="preserve">21. Субъекты в сфере обращения лекарственных средств и медицинских изделий и (или) официальный представитель консорциума предоставляют сводный реестр, сформированный в ИСС, а также акт оплаты на бумажном носителе и (или) через ИСС.</w:t>
      </w:r>
    </w:p>
    <w:p>
      <w:pPr>
        <w:pStyle w:val="Heading2"/>
      </w:pPr>
      <w:r>
        <w:t xml:space="preserve">Пункт 22</w:t>
      </w:r>
    </w:p>
    <w:p>
      <w:r>
        <w:t xml:space="preserve">22. Сводный реестр предоставляется субъектами в сфере обращения лекарственных средств и медицинских изделий и (или) официальным представителем консорциума фонду ежемесячно не позднее 25 (двадцать пятого) числа месяца, следующего за отчетным периодом.</w:t>
      </w:r>
    </w:p>
    <w:p>
      <w:r>
        <w:t xml:space="preserve">Сводный реестр для оплаты стоимости фармацевтических услуг за декабрь текущего года предоставляется до 25 (двадцать пятого) января года, следующего за отчетным финансовым годом.</w:t>
      </w:r>
    </w:p>
    <w:p>
      <w:pPr>
        <w:pStyle w:val="Heading2"/>
      </w:pPr>
      <w:r>
        <w:t xml:space="preserve">Пункт 23</w:t>
      </w:r>
    </w:p>
    <w:p>
      <w:r>
        <w:t xml:space="preserve">23. Фонд рассматривает и согласовывает сводный реестр в течение 10 (десяти) рабочих дней со дня его получения.</w:t>
      </w:r>
    </w:p>
    <w:p>
      <w:pPr>
        <w:pStyle w:val="Heading2"/>
      </w:pPr>
      <w:r>
        <w:t xml:space="preserve">Пункт 24</w:t>
      </w:r>
    </w:p>
    <w:p>
      <w:r>
        <w:t xml:space="preserve">24. Субъекты в сфере обращения лекарственных средств и медицинских изделий и (или) официальный представитель консорциума после согласования фондом сводного реестра направляет ему акт оплаты.</w:t>
      </w:r>
    </w:p>
    <w:p>
      <w:pPr>
        <w:pStyle w:val="Heading2"/>
      </w:pPr>
      <w:r>
        <w:t xml:space="preserve">Пункт 25</w:t>
      </w:r>
    </w:p>
    <w:p>
      <w:r>
        <w:t xml:space="preserve">25. Фонд после получения акта оплаты рассматривает и подписывает в течение 5 (пяти) рабочих дней.</w:t>
      </w:r>
    </w:p>
    <w:p>
      <w:pPr>
        <w:pStyle w:val="Heading2"/>
      </w:pPr>
      <w:r>
        <w:t xml:space="preserve">Пункт 26</w:t>
      </w:r>
    </w:p>
    <w:p>
      <w:r>
        <w:t xml:space="preserve">26. Фонд осуществляет оплату субъектам в сфере обращения лекарственных средств и медицинских изделий и (или) официальному представителю консорциума в течение 5 (пяти) календарных дней с даты подписания акта оплаты.</w:t>
      </w:r>
    </w:p>
    <w:p>
      <w:pPr>
        <w:pStyle w:val="Heading2"/>
      </w:pPr>
      <w:r>
        <w:t xml:space="preserve">Пункт 27</w:t>
      </w:r>
    </w:p>
    <w:p>
      <w:r>
        <w:t xml:space="preserve">27. Фонд оплачивает субъектам в сфере обращения лекарственных средств и медицинских изделий и (или) официальному представителю консорциума стоимость лекарственных средств по предельной цене на международное непатентованное наименование, но не выше цены на торговое наименование.</w:t>
      </w:r>
    </w:p>
    <w:p>
      <w:r>
        <w:t xml:space="preserve">Пациент не производит доплату, если цена торгового наименования лекарственного средства и (или) медицинских изделий ниже предельной цены, установленной для соответствующего международного непатентованного наименования.</w:t>
      </w:r>
    </w:p>
    <w:p>
      <w:pPr>
        <w:pStyle w:val="Heading2"/>
      </w:pPr>
      <w:r>
        <w:t xml:space="preserve">Пункт 28</w:t>
      </w:r>
    </w:p>
    <w:p>
      <w:r>
        <w:t xml:space="preserve">28. Срок оплаты, предусмотренный пунктом 26 настоящих Правил, приостанавливается при несвоевременном перечислении фонду бюджетных средств.</w:t>
      </w:r>
    </w:p>
    <w:p>
      <w:pPr>
        <w:pStyle w:val="Heading2"/>
      </w:pPr>
      <w:r>
        <w:t xml:space="preserve">Пункт 29</w:t>
      </w:r>
    </w:p>
    <w:p>
      <w:r>
        <w:t xml:space="preserve">29. Основанием для расторжения договора сооплаты является нарушение и (или) соблюдение условий, предусмотренных пунктами 10, 11, 12, 22 и 24 настоящих Правил, а именно несвоевременное или ненадлежащее предоставление сводного реестра и акта оплаты, нарушение требований по подключению и эксплуатации ИСС, а также информационной безопасности.</w:t>
      </w:r>
    </w:p>
    <w:p>
      <w:r>
        <w:t xml:space="preserve">Расторжение договора осуществляется путем направления письменного уведомления субъектам в сфере обращения лекарственных средств и медицинских изделий и (или) официальному представителю консорциума.</w:t>
      </w:r>
    </w:p>
    <w:p>
      <w:r>
        <w:t xml:space="preserve">Договор считается расторгнутым с момента получения указанного уведомления субъектами в сфере обращения лекарственных средств и медицинских изделий и (или) официальным представителем консорциума.</w:t>
      </w:r>
    </w:p>
    <w:p>
      <w:r>
        <w:t xml:space="preserve">|  | Приложение 1 к Правилам осуществления сооплаты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Сводный реестр обеспеченных рецептов субъектами в сфере обращения лекарственных средств и медицинских изделий и (или) консорциумом</w:t>
      </w:r>
    </w:p>
    <w:p>
      <w:pPr>
        <w:pStyle w:val="Heading2"/>
      </w:pPr>
      <w:r>
        <w:t xml:space="preserve">Текст</w:t>
      </w:r>
    </w:p>
    <w:p>
      <w:r>
        <w:t xml:space="preserve">за период _______________№_______ от "___" _________ 20 ___ года за период с "___" _______ 20 ___ года по "___" ________ 20 ___ год по Договору оплаты стоимости фармацевтических услуг в рамках сооплаты № ____от "___" _________ 20 ___ года Наименование и БИН поставщика (субъект в сфере обращения лекарственных средств и медицинских изделий и (или) официальный представитель консорциума, заключивший договор сооплаты с НАО "Фонд социального медицинского страхования") _______________________________________________________</w:t>
      </w:r>
    </w:p>
    <w:p>
      <w:r>
        <w:t xml:space="preserve">| № п/п | Наименование субъекта в сфере обращения лекарственных средств и медицинских изделий, фактически обеспечившего рецепт | БИН субъект в сфере обращения лекарственных средств и медицинских изделий, фактически обеспечившего рецепт | Регион | Код МКБ-10 | ИИН пациента | № и дата обеспеченного рецепта | Международное непатентованное наименование обеспеченного лекарственного средства |</w:t>
      </w:r>
    </w:p>
    <w:p>
      <w:r>
        <w:t xml:space="preserve">|---|---|---|---|---|---|---|---|</w:t>
      </w:r>
    </w:p>
    <w:p>
      <w:r>
        <w:t xml:space="preserve">| 1 | 2 | 3 | 4 | 5 | 6 | 7 | 8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Торговое наименование обеспеченного лекарственного средства (ТН) | Дозировка и Форма выпуска | Единица измерения | Предельная цена возмещения за единицу измерения, в тенге | Номер фискального чека | Номер (код) маркировки ЛС | Цена возмещение стоимости Фондом, в тенге | Цена оплаченная пациентом, в тенге (сумма сооплаты) | Общая сумма, в тенге |</w:t>
      </w:r>
    </w:p>
    <w:p>
      <w:r>
        <w:t xml:space="preserve">|---|---|---|---|---|---|---|---|---|</w:t>
      </w:r>
    </w:p>
    <w:p>
      <w:r>
        <w:t xml:space="preserve">| 9 | 10 | 11 | 12 | 13 | 14 | 15 | 16 | 17=15+16 |</w:t>
      </w:r>
    </w:p>
    <w:p>
      <w:pPr>
        <w:pStyle w:val="Heading2"/>
      </w:pPr>
      <w:r>
        <w:t xml:space="preserve">Текст</w:t>
      </w:r>
    </w:p>
    <w:p>
      <w:r>
        <w:t xml:space="preserve">Итого стоимость фармацевтической услуги в рамках сооплаты составила _____тенге. Представлено: Субъект в сфере обращения лекарственных средств и медицинских изделий и (или) официальный представитель консорциума ____________________________ _________________________________________________________________ Согласовано: НАО "Фонд социального медицинского страхования" __________________ _________________________________________________________________ *Торговое наименование указывается из государственного реестра лекарственных средств и медицинских изделий</w:t>
      </w:r>
    </w:p>
    <w:p>
      <w:r>
        <w:t xml:space="preserve">|  | Приложение 2 к Правилам осуществления сооплаты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Акт оплаты фармацевтических услуг субъектами в сфере обращения лекарственных средств и медицинских изделий и (или) консорциумом</w:t>
      </w:r>
    </w:p>
    <w:p>
      <w:pPr>
        <w:pStyle w:val="Heading2"/>
      </w:pPr>
      <w:r>
        <w:t xml:space="preserve">Текст</w:t>
      </w:r>
    </w:p>
    <w:p>
      <w:r>
        <w:t xml:space="preserve">№_______ от "___" _________ 20 ___ года за период с "___" _______ 20 ___ года по "___" ________ 20 ___ год по Договору оплаты стоимости фармацевтических услуг в рамках сооплаты № ____от "___" _________ 20 ___ года</w:t>
      </w:r>
    </w:p>
    <w:p>
      <w:r>
        <w:t xml:space="preserve">| № п/п | Регион | Наименование поставщика (субъект в сфере обращения лекарственных средств и медицинских изделий и (или) официальный представитель консорциума, заключивший договор сооплаты с НАО "Фонд социального медицинского страхования") | Предъявлено к оплате |  |</w:t>
      </w:r>
    </w:p>
    <w:p>
      <w:r>
        <w:t xml:space="preserve">|---|---|---|---|---|</w:t>
      </w:r>
    </w:p>
    <w:p>
      <w:r>
        <w:t xml:space="preserve">| Количество обеспеченных рецептов в рамках сооплаты | Сумма возмещения Фондом, в тенге |  |  |  |</w:t>
      </w:r>
    </w:p>
    <w:p>
      <w:r>
        <w:t xml:space="preserve">| 1 | 2 | 3 | 4 | 5 |</w:t>
      </w:r>
    </w:p>
    <w:p>
      <w:r>
        <w:t xml:space="preserve">| 1 |  |  |  |  |</w:t>
      </w:r>
    </w:p>
    <w:p>
      <w:r>
        <w:t xml:space="preserve">| 2 |  | Итого сумма обеспеченных рецептов в рамках сооплаты, тенге |  |  |</w:t>
      </w:r>
    </w:p>
    <w:p>
      <w:pPr>
        <w:pStyle w:val="Heading2"/>
      </w:pPr>
      <w:r>
        <w:t xml:space="preserve">Текст</w:t>
      </w:r>
    </w:p>
    <w:p>
      <w:r>
        <w:t xml:space="preserve">Представлено: Субъект в сфере обращения лекарственных средств и медицинских изделий и (или) официальный представитель консорциума _______________________________________________ Согласовано: НАО "Фонд социального медицинского страхования" _______________________________________________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