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приказы Министра здравоохранения Республики Казахстан</w:t>
      </w:r>
    </w:p>
    <w:p>
      <w:r>
        <w:t xml:space="preserve">Приказ, Изменения, Дополнения.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21.08.2025. № 213553. редакция от 21.08.2025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перечень некоторых приказов Министра здравоохранения Республики Казахстан, в которые вносятся изменения и дополнения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охраны здоровья матери и ребенка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|  | Приложение к приказу Министр здравоохранения Республики Казахстан от 21 августа 2025 года № 82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здравоохранения Республики Казахстан, в которые вносятся изменения и дополнения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9 сентября 2010 года № 704 "Об утверждении Правил организации скрининга" (зарегистрирован в Реестре государственной регистрации нормативных правовых актов под № 6490) следующие изменения:</w:t>
      </w:r>
    </w:p>
    <w:p>
      <w:r>
        <w:t xml:space="preserve">в Правилах организации скрининга,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организации скрининга (далее – Правила) разработаны в соответствии с подпунктом 1) статьи 5 Закона Республики Казахстан "О социальной и медико-педагогической коррекционной поддержке детей с ограниченными возможностями" и определяют порядок организации пренатального, неонатального, аудиологического скрининга новорожденных и детей раннего возраста, скрининга развития детей, офтальмологического скрининга недоношенных новорожденных в целях совершенствования профилактики врожденных и наследственных заболеваний у детей, снижения детской заболеваемости и инвалидности в Республике Казахстан.";</w:t>
      </w:r>
    </w:p>
    <w:p>
      <w:r>
        <w:t xml:space="preserve">подпункт 12) пункта 3 изложить в следующей редакции:</w:t>
      </w:r>
    </w:p>
    <w:p>
      <w:r>
        <w:t xml:space="preserve">"12) скрининг развития – массовое стандартизированное обследование детей, с целью выявления группы риска с нарушениями развития для раннего вмешательства, реабилитации и предупреждения заболеваний, ведущих к инвалидизации;";</w:t>
      </w:r>
    </w:p>
    <w:p>
      <w:r>
        <w:t xml:space="preserve">пункт 4 изложить в следующей редакции:</w:t>
      </w:r>
    </w:p>
    <w:p>
      <w:r>
        <w:t xml:space="preserve">"4. Пренатальный скрининг направлен на раннее выявление и диагностику хромосомных и наследственно-генетических патологий, а также врож денных пороков развития (далее – ВПР) плода для предупреждения рождения детей с тяжелыми, летальными, не поддающимися лечению и коррекции генетическими, хромосомными и анатомическими нарушениями.";</w:t>
      </w:r>
    </w:p>
    <w:p>
      <w:r>
        <w:t xml:space="preserve">пункты 32 , 35 и 53 исключить;</w:t>
      </w:r>
    </w:p>
    <w:p>
      <w:r>
        <w:t xml:space="preserve">пункт 54 изложить в следующей редакции:</w:t>
      </w:r>
    </w:p>
    <w:p>
      <w:r>
        <w:t xml:space="preserve">"54. Медицинские организации ежемесячно в срок до 1 числа месяца, следующего за отчетным, передают местным органам государственного управления здравоохранением областей, городов республиканского значения и столицы информацию о проведении неонатального скрининга новорожденных согласно приложению 28-1 к приказу Министра здравоохранения Республики Казахстан от 22 декабря 2020 года № ҚР ДСМ-313/2020 "Об утверждении форм отчетной документации в области здравоохранения" (зарегистрирован в Реестре государственной регистрации нормативных правовых актов под № 21879) (далее – Приказ № ҚР ДСМ-313/2020).";</w:t>
      </w:r>
    </w:p>
    <w:p>
      <w:r>
        <w:t xml:space="preserve">пункт 71 изложить в следующей редакции:</w:t>
      </w:r>
    </w:p>
    <w:p>
      <w:r>
        <w:t xml:space="preserve">"71. Мероприятия второго этапе аудиологического скрининга включают:</w:t>
      </w:r>
    </w:p>
    <w:p>
      <w:r>
        <w:t xml:space="preserve">сбор анамнеза, определение у детей факторов риска по тугоухости и глухоте;</w:t>
      </w:r>
    </w:p>
    <w:p>
      <w:r>
        <w:t xml:space="preserve">информирование родителя или другого законного представителя новорожденного о целях и процедуре проведения аудиологического скрининга, возможных последствиях отказа от обследования. Информированное согласие или отказ на проведение аудиологического скрининга вносится в медицинскую документацию;</w:t>
      </w:r>
    </w:p>
    <w:p>
      <w:r>
        <w:t xml:space="preserve">проведение обследования методом ВОАЭ;</w:t>
      </w:r>
    </w:p>
    <w:p>
      <w:r>
        <w:t xml:space="preserve">проведение обследования методом КСВП;</w:t>
      </w:r>
    </w:p>
    <w:p>
      <w:r>
        <w:t xml:space="preserve">внесение результатов обследования в медицинскую документацию (МИС).";</w:t>
      </w:r>
    </w:p>
    <w:p>
      <w:r>
        <w:t xml:space="preserve">пункт 78 изложить в следующей редакции:</w:t>
      </w:r>
    </w:p>
    <w:p>
      <w:r>
        <w:t xml:space="preserve">"78. Организации родовспоможения, ПМСП, сурдологические кабинеты (центры, отделения) ежемесячно предоставляют местным органам государственного управления здравоохранения областей, городов республиканского значения и столицы и в территориальную ПМПК в срок до 1 числа месяца, следующего за отчетным, информацию о проведении аудиологического скрининга и детях с выявленными нарушениями слуха согласно приложению 28-1 к Приказу № ҚР ДСМ-313/2020, ежеквартально проводят сверку с ПМПК о направленных детях.";</w:t>
      </w:r>
    </w:p>
    <w:p>
      <w:r>
        <w:t xml:space="preserve">заголовок главы 5 изложить в следующей редакции:</w:t>
      </w:r>
    </w:p>
    <w:p>
      <w:r>
        <w:t xml:space="preserve">"Глава 5. Организация скрининга развития детей раннего возраста" ;</w:t>
      </w:r>
    </w:p>
    <w:p>
      <w:r>
        <w:t xml:space="preserve">пункты 80 , 81 , 82 , 83 , 84 , 85 , 86 , 87 , 88 и 89 изложить в следующей редакции:</w:t>
      </w:r>
    </w:p>
    <w:p>
      <w:r>
        <w:t xml:space="preserve">"80. Скрининг развития детей направлен на раннее выявление нарушений в развитии на ранних этапах, путем оценки физического развития, двигательной активности, речевого развития, когнитивных способностей, эмоционально-волевой сферы и социального поведения.</w:t>
      </w:r>
    </w:p>
    <w:p>
      <w:pPr>
        <w:pStyle w:val="Heading2"/>
      </w:pPr>
      <w:r>
        <w:t xml:space="preserve">Пункт 81</w:t>
      </w:r>
    </w:p>
    <w:p>
      <w:r>
        <w:t xml:space="preserve">81. Оценка развития детей проводится для определения физического, умственного, социального развития и своевременного оказания медицинской помощи детям профильными специалистами.</w:t>
      </w:r>
    </w:p>
    <w:p>
      <w:pPr>
        <w:pStyle w:val="Heading2"/>
      </w:pPr>
      <w:r>
        <w:t xml:space="preserve">Пункт 82</w:t>
      </w:r>
    </w:p>
    <w:p>
      <w:r>
        <w:t xml:space="preserve">82. Задачами скрининга развития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охват детей в возрасте до 6 лет;</w:t>
      </w:r>
    </w:p>
    <w:p>
      <w:pPr>
        <w:pStyle w:val="Heading2"/>
      </w:pPr>
      <w:r>
        <w:t xml:space="preserve">Подпункт 2</w:t>
      </w:r>
    </w:p>
    <w:p>
      <w:r>
        <w:t xml:space="preserve">2) раннее выявление детей с риском нарушений развития для дальнейшего обследования, своевременного вмешательства и реабилитации;</w:t>
      </w:r>
    </w:p>
    <w:p>
      <w:pPr>
        <w:pStyle w:val="Heading2"/>
      </w:pPr>
      <w:r>
        <w:t xml:space="preserve">Подпункт 3</w:t>
      </w:r>
    </w:p>
    <w:p>
      <w:r>
        <w:t xml:space="preserve">3) направление для разработки Индивидуальной программы раннего вмешательства (далее – ИПРВ) детей в Центрах развития и раннего вмешательства организации ПМСП;</w:t>
      </w:r>
    </w:p>
    <w:p>
      <w:pPr>
        <w:pStyle w:val="Heading2"/>
      </w:pPr>
      <w:r>
        <w:t xml:space="preserve">Подпункт 4</w:t>
      </w:r>
    </w:p>
    <w:p>
      <w:r>
        <w:t xml:space="preserve">4) направление детей с риском нарушений развития на психолого-медико-педагогическую консультацию для углубленного педагогического обследования и решения вопросов коррекционно-развивающего обучения;</w:t>
      </w:r>
    </w:p>
    <w:p>
      <w:pPr>
        <w:pStyle w:val="Heading2"/>
      </w:pPr>
      <w:r>
        <w:t xml:space="preserve">Подпункт 5</w:t>
      </w:r>
    </w:p>
    <w:p>
      <w:r>
        <w:t xml:space="preserve">5) внесение данных о прохождении детей скрининга развития и проведенного вмешательства согласно ИПРВ в медицинскую информационную систему;</w:t>
      </w:r>
    </w:p>
    <w:p>
      <w:pPr>
        <w:pStyle w:val="Heading2"/>
      </w:pPr>
      <w:r>
        <w:t xml:space="preserve">Подпункт 6</w:t>
      </w:r>
    </w:p>
    <w:p>
      <w:r>
        <w:t xml:space="preserve">6) оказание консультативной помощи родителям или законным представителям по вопросам обследования, лечения, реабилитации детей с нарушениями развития.</w:t>
      </w:r>
    </w:p>
    <w:p>
      <w:pPr>
        <w:pStyle w:val="Heading2"/>
      </w:pPr>
      <w:r>
        <w:t xml:space="preserve">Пункт 83</w:t>
      </w:r>
    </w:p>
    <w:p>
      <w:r>
        <w:t xml:space="preserve">83. Скрининг развития проводится детям с рождения до шести лет.</w:t>
      </w:r>
    </w:p>
    <w:p>
      <w:pPr>
        <w:pStyle w:val="Heading2"/>
      </w:pPr>
      <w:r>
        <w:t xml:space="preserve">Пункт 84</w:t>
      </w:r>
    </w:p>
    <w:p>
      <w:r>
        <w:t xml:space="preserve">84. Оценка физического развития детей осуществляется по возрастам в соответствии с приказом Министра здравоохранения Республики Казахстан от 15 декабря 2020 года № ҚР ДСМ-264/2020 "Об утверждении правил, объема и периодичности проведения профилактических медицинских осмотров целевых групп населения, включая детей дошкольного, школьного возрастов, а также учащихся организаций технического и профессионального, послесреднего и высшего образования" (зарегистрирован в Реестре государственной регистрации нормативных правовых актов под № 21820), также согласно показателям центильных таблиц роста, веса, окружности головы. Центильные таблицы соотношения окружности головы к возрасту в месяцах для мальчиков и девочек в возрасте до 5 лет приведены в приложении 13 (таблицы № 1, 2). Оценку недоношенных новорожденных по данным таблицам проводят по достижению постконцептуального возраста.</w:t>
      </w:r>
    </w:p>
    <w:p>
      <w:pPr>
        <w:pStyle w:val="Heading2"/>
      </w:pPr>
      <w:r>
        <w:t xml:space="preserve">Пункт 85</w:t>
      </w:r>
    </w:p>
    <w:p>
      <w:r>
        <w:t xml:space="preserve">85. Мероприятия скрининга развития включают анкетирование законных представителей детей в соответствии с возрастом ребенка и оценку критериев развития ребенка медицинской сестрой кабинета развития ребенка согласно приложению 14 к настоящему приказу.</w:t>
      </w:r>
    </w:p>
    <w:p>
      <w:pPr>
        <w:pStyle w:val="Heading2"/>
      </w:pPr>
      <w:r>
        <w:t xml:space="preserve">Пункт 86</w:t>
      </w:r>
    </w:p>
    <w:p>
      <w:r>
        <w:t xml:space="preserve">86. При выявлении двух признаков из двух областей развития для детей с рождения до трех лет и трех признаков из двух областей развития для детей с четырех до шести лет, проводится консультация мультидисциплинарной группой (далее – МДГ) с разработкой ИПРВ.</w:t>
      </w:r>
    </w:p>
    <w:p>
      <w:pPr>
        <w:pStyle w:val="Heading2"/>
      </w:pPr>
      <w:r>
        <w:t xml:space="preserve">Пункт 87</w:t>
      </w:r>
    </w:p>
    <w:p>
      <w:r>
        <w:t xml:space="preserve">87. При оценке критериев развития ребенка в возрасте с рождения до трех лет включительно учитываются:</w:t>
      </w:r>
    </w:p>
    <w:p>
      <w:r>
        <w:t xml:space="preserve">крупная моторика;</w:t>
      </w:r>
    </w:p>
    <w:p>
      <w:r>
        <w:t xml:space="preserve">мелкая моторика;</w:t>
      </w:r>
    </w:p>
    <w:p>
      <w:r>
        <w:t xml:space="preserve">чувствительная сфера;</w:t>
      </w:r>
    </w:p>
    <w:p>
      <w:r>
        <w:t xml:space="preserve">развитие речи;</w:t>
      </w:r>
    </w:p>
    <w:p>
      <w:r>
        <w:t xml:space="preserve">социальная сфера.</w:t>
      </w:r>
    </w:p>
    <w:p>
      <w:pPr>
        <w:pStyle w:val="Heading2"/>
      </w:pPr>
      <w:r>
        <w:t xml:space="preserve">Пункт 88</w:t>
      </w:r>
    </w:p>
    <w:p>
      <w:r>
        <w:t xml:space="preserve">88. При оценке критериев развития ребенка в возрасте с четырех лет до шести лет включительно являются:</w:t>
      </w:r>
    </w:p>
    <w:p>
      <w:r>
        <w:t xml:space="preserve">крупная моторика,</w:t>
      </w:r>
    </w:p>
    <w:p>
      <w:r>
        <w:t xml:space="preserve">мелкая моторика;</w:t>
      </w:r>
    </w:p>
    <w:p>
      <w:r>
        <w:t xml:space="preserve">речь;</w:t>
      </w:r>
    </w:p>
    <w:p>
      <w:r>
        <w:t xml:space="preserve">познание;</w:t>
      </w:r>
    </w:p>
    <w:p>
      <w:r>
        <w:t xml:space="preserve">социальная сфера.</w:t>
      </w:r>
    </w:p>
    <w:p>
      <w:pPr>
        <w:pStyle w:val="Heading2"/>
      </w:pPr>
      <w:r>
        <w:t xml:space="preserve">Пункт 89</w:t>
      </w:r>
    </w:p>
    <w:p>
      <w:r>
        <w:t xml:space="preserve">89. Сведения о развитии ребенка вносятся в медицинскую информационную систему организации ПМСП согласно вкладным листам 1 и 2 к форме № 052/у "Медицинская карта амбулаторного пациента",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21579).</w:t>
      </w:r>
    </w:p>
    <w:p>
      <w:pPr>
        <w:pStyle w:val="Heading2"/>
      </w:pPr>
      <w:r>
        <w:t xml:space="preserve">Пункт 90</w:t>
      </w:r>
    </w:p>
    <w:p>
      <w:r>
        <w:t xml:space="preserve">90. Организации родовспоможения и ПМСП ежемесячно передают местным органам государственного управления здравоохранением областей, городов республиканского значения и столицы и ПМПК информацию о проведении скрининга развития детей раннего возраста согласно приложению 28-1 к Приказу № ҚР ДСМ-313/2020 в срок до 1 числа месяца, следующего за отчетным, ежеквартально проводят сверку с ПМПК о направленных детях.";</w:t>
      </w:r>
    </w:p>
    <w:p>
      <w:r>
        <w:t xml:space="preserve">пункты 91 , 92 , 93 , 94 , 95 , 96 , 97 , 98 и 99 исключить;</w:t>
      </w:r>
    </w:p>
    <w:p>
      <w:r>
        <w:t xml:space="preserve">пункт 118 изложить в следующей редакции:</w:t>
      </w:r>
    </w:p>
    <w:p>
      <w:r>
        <w:t xml:space="preserve">"118. Медицинские организации родовспоможения направляют в местные органы государственного управления здравоохранением областей, городов республиканского значения и столицы ежемесячно в срок до 1 числа месяца, следующего за отчетным, информацию о проведении офтальмологического скрининга недоношенных новорожденных группы риска по развитию ретинопатии недоношенных в организациях родовспоможения согласно приложению 28-1 к Приказу № ҚР ДСМ-313/2020.";</w:t>
      </w:r>
    </w:p>
    <w:p>
      <w:r>
        <w:t xml:space="preserve">заголовок главы 7 изложить в следующей редакции:</w:t>
      </w:r>
    </w:p>
    <w:p>
      <w:r>
        <w:t xml:space="preserve">"Глава 7. Порядок организации скрининга на носительства спинальной мышечной атрофии у беременных и супружеских пар";</w:t>
      </w:r>
    </w:p>
    <w:p>
      <w:r>
        <w:t xml:space="preserve">пункты 120 , 121 , 122 , 123 , 124 и 125 изложить в следующей редакции:</w:t>
      </w:r>
    </w:p>
    <w:p>
      <w:r>
        <w:t xml:space="preserve">"120. Скрининг на носительства спинальной мышечной атрофии (далее – СМА) направлен на раннее выявление мутаций в генах беременных и супружеских пар до планирования беременности.</w:t>
      </w:r>
    </w:p>
    <w:p>
      <w:pPr>
        <w:pStyle w:val="Heading2"/>
      </w:pPr>
      <w:r>
        <w:t xml:space="preserve">Пункт 121</w:t>
      </w:r>
    </w:p>
    <w:p>
      <w:r>
        <w:t xml:space="preserve">121. Задачами скрининга на носительства СМА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охват беременных и супружеских пар до планирования беременности;</w:t>
      </w:r>
    </w:p>
    <w:p>
      <w:pPr>
        <w:pStyle w:val="Heading2"/>
      </w:pPr>
      <w:r>
        <w:t xml:space="preserve">Подпункт 2</w:t>
      </w:r>
    </w:p>
    <w:p>
      <w:r>
        <w:t xml:space="preserve">2) раннее выявление у беременных и супружеских пар до планирования беременности скрытого носительства СМА для дальнейшего обследования и своевременного предупреждения рождения детей со СМА;</w:t>
      </w:r>
    </w:p>
    <w:p>
      <w:pPr>
        <w:pStyle w:val="Heading2"/>
      </w:pPr>
      <w:r>
        <w:t xml:space="preserve">Подпункт 3</w:t>
      </w:r>
    </w:p>
    <w:p>
      <w:r>
        <w:t xml:space="preserve">3) консультирование беременных и супружеских пар с положительным результатом анализа на носительства СМА по вопросам углубленного генетического обследования и определения тактики дальнейшего мониторинга;</w:t>
      </w:r>
    </w:p>
    <w:p>
      <w:pPr>
        <w:pStyle w:val="Heading2"/>
      </w:pPr>
      <w:r>
        <w:t xml:space="preserve">Подпункт 4</w:t>
      </w:r>
    </w:p>
    <w:p>
      <w:r>
        <w:t xml:space="preserve">4) внесение данных лиц, с положительным результатом анализа на носительства СМА в медицинскую информационную систему (далее – МИС) для ведения учета;</w:t>
      </w:r>
    </w:p>
    <w:p>
      <w:pPr>
        <w:pStyle w:val="Heading2"/>
      </w:pPr>
      <w:r>
        <w:t xml:space="preserve">Подпункт 5</w:t>
      </w:r>
    </w:p>
    <w:p>
      <w:r>
        <w:t xml:space="preserve">5) мониторинг и анализ эффективности скрининга на носительства СМА.</w:t>
      </w:r>
    </w:p>
    <w:p>
      <w:pPr>
        <w:pStyle w:val="Heading2"/>
      </w:pPr>
      <w:r>
        <w:t xml:space="preserve">Пункт 122</w:t>
      </w:r>
    </w:p>
    <w:p>
      <w:r>
        <w:t xml:space="preserve">122. Этапы проведения скрининга на носительства СМА беременных и супружеских пар до планирования беременности:</w:t>
      </w:r>
    </w:p>
    <w:p>
      <w:r>
        <w:t xml:space="preserve">первый этап проводится в организациях амбулаторно-поликлинической службы (ПМСП, ЦРБ, МЦЗ);</w:t>
      </w:r>
    </w:p>
    <w:p>
      <w:r>
        <w:t xml:space="preserve">второй этап проводится в консультативно-диагностических отделениях на уровне перинатальных центров (многопрофильных больниц).</w:t>
      </w:r>
    </w:p>
    <w:p>
      <w:pPr>
        <w:pStyle w:val="Heading2"/>
      </w:pPr>
      <w:r>
        <w:t xml:space="preserve">Пункт 123</w:t>
      </w:r>
    </w:p>
    <w:p>
      <w:r>
        <w:t xml:space="preserve">123. На первом этапе скрининга врач общей практики (далее – ВОП) или обученный медицинский работник организации ПМСП (ЦРБ, МЦЗ):</w:t>
      </w:r>
    </w:p>
    <w:p>
      <w:pPr>
        <w:pStyle w:val="Heading2"/>
      </w:pPr>
      <w:r>
        <w:t xml:space="preserve">Подпункт 1</w:t>
      </w:r>
    </w:p>
    <w:p>
      <w:r>
        <w:t xml:space="preserve">1) проводит информационно-разъяснительную работу среди целевой группы о целесообразности своевременного прохождения скрининга на носительства СМА, через социальные сети и другие современные каналы коммуникации;</w:t>
      </w:r>
    </w:p>
    <w:p>
      <w:pPr>
        <w:pStyle w:val="Heading2"/>
      </w:pPr>
      <w:r>
        <w:t xml:space="preserve">Подпункт 2</w:t>
      </w:r>
    </w:p>
    <w:p>
      <w:r>
        <w:t xml:space="preserve">2) формирует список беременных и лиц из целевой группы, с определением маршрута движения и организует проведение скрининга на носительства СМА;</w:t>
      </w:r>
    </w:p>
    <w:p>
      <w:pPr>
        <w:pStyle w:val="Heading2"/>
      </w:pPr>
      <w:r>
        <w:t xml:space="preserve">Подпункт 3</w:t>
      </w:r>
    </w:p>
    <w:p>
      <w:r>
        <w:t xml:space="preserve">3) при выявлении беременных и лиц из целевой группы с положительным результатом анализа на носительства СМА (далее – с носительством СМА), направляет к врачом по специальности "Медицинская генетика" на консультацию и дообследования.</w:t>
      </w:r>
    </w:p>
    <w:p>
      <w:pPr>
        <w:pStyle w:val="Heading2"/>
      </w:pPr>
      <w:r>
        <w:t xml:space="preserve">Пункт 124</w:t>
      </w:r>
    </w:p>
    <w:p>
      <w:r>
        <w:t xml:space="preserve">124. На втором этапе в консультативно-диагностических отделениях на уровне перинатальных центров (многопрофильных больниц) врач по специальности "Медицинская генетика":</w:t>
      </w:r>
    </w:p>
    <w:p>
      <w:pPr>
        <w:pStyle w:val="Heading2"/>
      </w:pPr>
      <w:r>
        <w:t xml:space="preserve">Подпункт 1</w:t>
      </w:r>
    </w:p>
    <w:p>
      <w:r>
        <w:t xml:space="preserve">1) организует консультацию и проводит информационно-разъяснительную работу среди беременных и лиц из целевой группы с носительством СМА по вопросам планирования семьи и обследования супруг на носительства СМА;</w:t>
      </w:r>
    </w:p>
    <w:p>
      <w:pPr>
        <w:pStyle w:val="Heading2"/>
      </w:pPr>
      <w:r>
        <w:t xml:space="preserve">Подпункт 2</w:t>
      </w:r>
    </w:p>
    <w:p>
      <w:r>
        <w:t xml:space="preserve">2) обеспечивает консультативную помощь по вопросам обследования и наблюдения беременных и лиц из целевой группы, с носительством СМА;</w:t>
      </w:r>
    </w:p>
    <w:p>
      <w:pPr>
        <w:pStyle w:val="Heading2"/>
      </w:pPr>
      <w:r>
        <w:t xml:space="preserve">Подпункт 3</w:t>
      </w:r>
    </w:p>
    <w:p>
      <w:r>
        <w:t xml:space="preserve">3) осуществляет углубленное обследование и проводит персонифицированную регистрацию беременных и лиц из целевой группы с носительством СМА и в МИС;</w:t>
      </w:r>
    </w:p>
    <w:p>
      <w:pPr>
        <w:pStyle w:val="Heading2"/>
      </w:pPr>
      <w:r>
        <w:t xml:space="preserve">Подпункт 4</w:t>
      </w:r>
    </w:p>
    <w:p>
      <w:r>
        <w:t xml:space="preserve">4) обеспечивает обследования супруг беременных, и супружеских пар с носительством СМА, до планирования беременности;</w:t>
      </w:r>
    </w:p>
    <w:p>
      <w:pPr>
        <w:pStyle w:val="Heading2"/>
      </w:pPr>
      <w:r>
        <w:t xml:space="preserve">Подпункт 5</w:t>
      </w:r>
    </w:p>
    <w:p>
      <w:r>
        <w:t xml:space="preserve">5) ежегодно проводит анализ исхода беременности и рождения детей у беременных и супружеских пар с носительством СМА;</w:t>
      </w:r>
    </w:p>
    <w:p>
      <w:pPr>
        <w:pStyle w:val="Heading2"/>
      </w:pPr>
      <w:r>
        <w:t xml:space="preserve">Подпункт 6</w:t>
      </w:r>
    </w:p>
    <w:p>
      <w:r>
        <w:t xml:space="preserve">6) осуществляет мониторинг и анализ эффективности проведенного скрининга на носительства СМА.</w:t>
      </w:r>
    </w:p>
    <w:p>
      <w:pPr>
        <w:pStyle w:val="Heading2"/>
      </w:pPr>
      <w:r>
        <w:t xml:space="preserve">Пункт 125</w:t>
      </w:r>
    </w:p>
    <w:p>
      <w:r>
        <w:t xml:space="preserve">125. Руководители медицинских организаций (перинатальных центров, многопрофильных больниц, ПМСП, ЦРБ, МЦЗ) обеспечивают охват и качественное проведение скрининга на носительства СМА беременных и супружеских пар, с соблюдением преемственности на всех этапах.";</w:t>
      </w:r>
    </w:p>
    <w:p>
      <w:r>
        <w:t xml:space="preserve">пункт 126 исключить;</w:t>
      </w:r>
    </w:p>
    <w:p>
      <w:r>
        <w:t xml:space="preserve">приложения 2 , 3 и 6 к указанным Правилам исключить;</w:t>
      </w:r>
    </w:p>
    <w:p>
      <w:r>
        <w:t xml:space="preserve">приложения 7 , 11 и 12 к указанным Правилам исключить;</w:t>
      </w:r>
    </w:p>
    <w:p>
      <w:pPr>
        <w:pStyle w:val="Heading2"/>
      </w:pPr>
      <w:r>
        <w:t xml:space="preserve">Приложение приложение 14 к указанным Правилам изложить в новой редакции согласно приложению 1 к настоящему перечню;</w:t>
      </w:r>
    </w:p>
    <w:p>
      <w:pPr>
        <w:pStyle w:val="Heading2"/>
      </w:pPr>
      <w:r>
        <w:t xml:space="preserve">Приложение приложение 15 , 16 , 17 , 18 , 19 , 20 и 21 к указанным Правилам исключить.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здравоохранения Республики Казахстан от 18 ноября 2020 года № ҚР ДСМ-198/2020 "Об утверждении правил проведения экспертизы временной нетрудоспособности, а также выдачи листа или справки о временной нетрудоспособности" (зарегистрирован в Реестре государственной регистрации нормативных правовых актов под № 21660)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2 статьи 89 Кодекса Республики Казахстан "О здоровье народа и системе здравоохранения" и пунктом 1 статьи 10 Закона Республики Казахстан "О государственных услугах" ПРИКАЗЫВАЮ: ";</w:t>
      </w:r>
    </w:p>
    <w:p>
      <w:r>
        <w:t xml:space="preserve">в Правила проведения экспертизы временной нетрудоспособности, а также выдачи листа или справки о временной нетрудоспособности,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проведения экспертизы временной нетрудоспособности, а также выдачи листа или справки о временной нетрудоспособности (далее – Правила) разработаны в соответствии с пунктом 2 статьи 89 Кодекса Республики Казахстан "О здоровье народа и системе здравоохранения" (далее – Кодекс) и пунктом 1 статьи 10 Закона Республики Казахстан "О государственных услугах" и определяют порядок проведения экспертизы временной нетрудоспособности, выдачи медицинскими организациями документов, удостоверяющих временную нетрудоспособность.";</w:t>
      </w:r>
    </w:p>
    <w:p>
      <w:r>
        <w:t xml:space="preserve">в подпункт 4) пункта 57 вносится изменение на казахском языке, текст на русском языке не меняется;</w:t>
      </w:r>
    </w:p>
    <w:p>
      <w:r>
        <w:t xml:space="preserve">пункт 61 изложить в следующей редакции:</w:t>
      </w:r>
    </w:p>
    <w:p>
      <w:r>
        <w:t xml:space="preserve">"61. При стационарном лечении ребенка, в том числе в реабилитационном центре, нуждающегося по заключению ВКК в уходе, лист или справка о временной нетрудоспособности по уходу выдается одному из законных представителей ребенка или лицу, ухаживающему за ним при лечении:</w:t>
      </w:r>
    </w:p>
    <w:p>
      <w:pPr>
        <w:pStyle w:val="Heading2"/>
      </w:pPr>
      <w:r>
        <w:t xml:space="preserve">Подпункт 1</w:t>
      </w:r>
    </w:p>
    <w:p>
      <w:r>
        <w:t xml:space="preserve">1) ребенка в возрасте до пяти лет – на весь период пребывания ребенка в стационаре;</w:t>
      </w:r>
    </w:p>
    <w:p>
      <w:pPr>
        <w:pStyle w:val="Heading2"/>
      </w:pPr>
      <w:r>
        <w:t xml:space="preserve">Подпункт 2</w:t>
      </w:r>
    </w:p>
    <w:p>
      <w:r>
        <w:t xml:space="preserve">2) тяжелобольных детей старше пяти лет – на срок, в течение которого ребенок нуждается в таком уходе;</w:t>
      </w:r>
    </w:p>
    <w:p>
      <w:pPr>
        <w:pStyle w:val="Heading2"/>
      </w:pPr>
      <w:r>
        <w:t xml:space="preserve">Подпункт 3</w:t>
      </w:r>
    </w:p>
    <w:p>
      <w:r>
        <w:t xml:space="preserve">3) ребенка с инвалидностью – на весь период пребывания в стационаре по заключению ВКК;</w:t>
      </w:r>
    </w:p>
    <w:p>
      <w:pPr>
        <w:pStyle w:val="Heading2"/>
      </w:pPr>
      <w:r>
        <w:t xml:space="preserve">Подпункт 4</w:t>
      </w:r>
    </w:p>
    <w:p>
      <w:r>
        <w:t xml:space="preserve">4) по направлению медицинской организацией вне места их постоянного жительства, в том числе за пределы Республики Казахстан, на весь период пребывания в стационаре, включая время, необходимое на проезд в оба конца.".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здравоохранения Республики Казахстан от 15 декабря 2020 года № ҚР ДСМ-278/2020 "Об утверждении правил поощрения работников субъектов здравоохранения, оказывающих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21824) следующее изменение:</w:t>
      </w:r>
    </w:p>
    <w:p>
      <w:r>
        <w:t xml:space="preserve">в Правилах поощрения работников субъектов здравоохранения, оказывающих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страхования, утвержденных указанным приказом:</w:t>
      </w:r>
    </w:p>
    <w:p>
      <w:r>
        <w:t xml:space="preserve">пункт 20 изложить в следующей редакции:</w:t>
      </w:r>
    </w:p>
    <w:p>
      <w:r>
        <w:t xml:space="preserve">"20. Расчет индикатора младенческой смертности проводится при отсутствии случаев младенческой смертности, подтвержденных экспертами Фонда о предотвратимости на уровне ПМСП за исключением нозологий согласно таблице 2 Приложения 5 настоящих Правил, проводится за отчетный период суммарно по значениям подиндикаторов по следующей формуле:</w:t>
      </w:r>
    </w:p>
    <w:p>
      <w:r>
        <w:t xml:space="preserve">Ti2 = (Ui2.1+Ui2.2) * Pc</w:t>
      </w:r>
    </w:p>
    <w:p>
      <w:r>
        <w:t xml:space="preserve">Ti2 – Общее количество баллов по индикатору "Младенческая смертность, предотвратимая на уровне ПМСП",</w:t>
      </w:r>
    </w:p>
    <w:p>
      <w:r>
        <w:t xml:space="preserve">Pc – Коэффициент по детям до 1 года на участке за квартал.</w:t>
      </w:r>
    </w:p>
    <w:p>
      <w:r>
        <w:t xml:space="preserve">Ui2.1 – количество баллов по подиндикатору – "Охват патронажным посещением новорожденных в первые 3 суток после выписки из организации родовспоможения" рассчитываемого как:</w:t>
      </w:r>
    </w:p>
    <w:p>
      <w:r>
        <w:t xml:space="preserve">Ui2. 1 = PN /D * 100 %</w:t>
      </w:r>
    </w:p>
    <w:p>
      <w:r>
        <w:t xml:space="preserve">PN – Число новорожденных, охваченных патронажным посещением в первые 3 суток после выписки из организации родовспоможения за квартал,</w:t>
      </w:r>
    </w:p>
    <w:p>
      <w:r>
        <w:t xml:space="preserve">D – Число выписанных из стационара родильниц за квартал.</w:t>
      </w:r>
    </w:p>
    <w:p>
      <w:r>
        <w:t xml:space="preserve">Результат:</w:t>
      </w:r>
    </w:p>
    <w:p>
      <w:r>
        <w:t xml:space="preserve">90 % и более – 8 баллов</w:t>
      </w:r>
    </w:p>
    <w:p>
      <w:r>
        <w:t xml:space="preserve">80 – 89 % – 5 баллов</w:t>
      </w:r>
    </w:p>
    <w:p>
      <w:r>
        <w:t xml:space="preserve">70 – 79 % – 2 балл</w:t>
      </w:r>
    </w:p>
    <w:p>
      <w:r>
        <w:t xml:space="preserve">Ниже 70 % – 0 баллов</w:t>
      </w:r>
    </w:p>
    <w:p>
      <w:r>
        <w:t xml:space="preserve">U2.2 – количество баллов по подиндикатору – "Охват пренатальным скринингом по сроку беременности", рассчитываемого как:</w:t>
      </w:r>
    </w:p>
    <w:p>
      <w:r>
        <w:t xml:space="preserve">U2. 2 = Ps/P*100 %</w:t>
      </w:r>
    </w:p>
    <w:p>
      <w:r>
        <w:t xml:space="preserve">Ps – Число женщин, прошедших периодический пренатальный скрининг за квартал,</w:t>
      </w:r>
    </w:p>
    <w:p>
      <w:r>
        <w:t xml:space="preserve">P - Число беременных женщин состоявших на учете за квартал.</w:t>
      </w:r>
    </w:p>
    <w:p>
      <w:r>
        <w:t xml:space="preserve">Результат:</w:t>
      </w:r>
    </w:p>
    <w:p>
      <w:r>
        <w:t xml:space="preserve">90 % и более – 8 баллов</w:t>
      </w:r>
    </w:p>
    <w:p>
      <w:r>
        <w:t xml:space="preserve">80 – 89 % – 5 баллов</w:t>
      </w:r>
    </w:p>
    <w:p>
      <w:r>
        <w:t xml:space="preserve">70 – 79 % – 2 балла</w:t>
      </w:r>
    </w:p>
    <w:p>
      <w:r>
        <w:t xml:space="preserve">Менее 70 % – 0 баллов</w:t>
      </w:r>
    </w:p>
    <w:p>
      <w:r>
        <w:t xml:space="preserve">20.1. К значению индикатора младенческой смертности применяется поправочный коэффициент Pc в зависимости от количества детей в возрасте до 1 года на участке за отчетный квартал:</w:t>
      </w:r>
    </w:p>
    <w:p>
      <w:r>
        <w:t xml:space="preserve">1,0 – на участке 50 и более детей до 1 года,</w:t>
      </w:r>
    </w:p>
    <w:p>
      <w:r>
        <w:t xml:space="preserve">0,8 – на участке 30 – 49 детей до 1 года,</w:t>
      </w:r>
    </w:p>
    <w:p>
      <w:r>
        <w:t xml:space="preserve">0,6 – на участке 10–29 детей до 1 года,</w:t>
      </w:r>
    </w:p>
    <w:p>
      <w:r>
        <w:t xml:space="preserve">0,4 – на участке менее 9 детей до 1 года,</w:t>
      </w:r>
    </w:p>
    <w:p>
      <w:r>
        <w:t xml:space="preserve">0 – на участке нет детей до 1 года.".</w:t>
      </w:r>
    </w:p>
    <w:p>
      <w:pPr>
        <w:pStyle w:val="Heading2"/>
      </w:pPr>
      <w:r>
        <w:t xml:space="preserve">Пункт 4</w:t>
      </w:r>
    </w:p>
    <w:p>
      <w:r>
        <w:t xml:space="preserve">4. Внести в приказ Министра здравоохранения Республики Казахстан от 21 декабря 2020 года № ҚР ДСМ-305/2020 "Об утверждении номенклатуры специальностей и специализаций в области здравоохранения, номенклатуры и квалификационных характеристик должностей работников здравоохранения" (зарегистрирован в Реестре государственной регистрации нормативных правовых актов под № 21856) следующие дополнения:</w:t>
      </w:r>
    </w:p>
    <w:p>
      <w:r>
        <w:t xml:space="preserve">Номенклатуру должностей работников здравоохранения, утвержденную приложением 2 к указанному приказу:</w:t>
      </w:r>
    </w:p>
    <w:p>
      <w:r>
        <w:t xml:space="preserve">дополнить пунктом 58-1 следующего содержания:</w:t>
      </w:r>
    </w:p>
    <w:p>
      <w:r>
        <w:t xml:space="preserve">"58-1. Сестра (брат) медицинская (медицинский) патронажная (патронажный).".</w:t>
      </w:r>
    </w:p>
    <w:p>
      <w:r>
        <w:t xml:space="preserve">в квалификационных характеристиках должностей работников здравоохранения, утвержденных указанным приказом:</w:t>
      </w:r>
    </w:p>
    <w:p>
      <w:r>
        <w:t xml:space="preserve">главу 7 дополнить параграфом 3-1 следующего содержания:</w:t>
      </w:r>
    </w:p>
    <w:p>
      <w:r>
        <w:t xml:space="preserve">"Параграф 3-1. Сестра (брат) медицинская (медицинский) патронажная (патронажный)</w:t>
      </w:r>
    </w:p>
    <w:p>
      <w:pPr>
        <w:pStyle w:val="Heading2"/>
      </w:pPr>
      <w:r>
        <w:t xml:space="preserve">Пункт 177-1</w:t>
      </w:r>
    </w:p>
    <w:p>
      <w:r>
        <w:t xml:space="preserve">177-1. Должностные обязанности:</w:t>
      </w:r>
    </w:p>
    <w:p>
      <w:r>
        <w:t xml:space="preserve">Планирует патронажные посещения с определением конкретной задачи визита.</w:t>
      </w:r>
    </w:p>
    <w:p>
      <w:r>
        <w:t xml:space="preserve">Осуществляет два универсальных визита на дому к беременным женщинами и десять универсальных визитов к детям раннего возраста в соответствии с приказом Министра здравоохранения Республики Казахстан от 15 марта 2022 года № ҚР ДСМ-25 "Об утверждении стандарта организации оказания педиатрической помощи в Республике Казахстан" (зарегистрирован в Реестре государственной регистрации нормативных правовых актов под № 27182).</w:t>
      </w:r>
    </w:p>
    <w:p>
      <w:r>
        <w:t xml:space="preserve">При выявлении рисков для здоровья, развития и безопасности осуществляет дополнительные визиты на дому к беременным женщинам и к детям раннего возраста в соответствии с индивидуальным планом, информирует врача о выявленных рисках.</w:t>
      </w:r>
    </w:p>
    <w:p>
      <w:r>
        <w:t xml:space="preserve">При выявлении рисков, требующих участия других специалистов (социального работника, психолога, педиатра, профильных специалистов), участвует в составлении и реализации комплексного плана сопровождения семьи.</w:t>
      </w:r>
    </w:p>
    <w:p>
      <w:r>
        <w:t xml:space="preserve">При выявлении больного ребенка, оценивает наличие признаков опасности, неотложных признаков и оказывает экстренную помощь в рамках полномочий среднего медработника и оповещает врача.</w:t>
      </w:r>
    </w:p>
    <w:p>
      <w:r>
        <w:t xml:space="preserve">Проводит обучение беременной женщины, родителей или законных представителей детей по подготовке к родам, уходу за детьми раннего возраста, безопасной среде, раннему развитию детей.</w:t>
      </w:r>
    </w:p>
    <w:p>
      <w:r>
        <w:t xml:space="preserve">Проводит консультирование беременной женщины, родителей или законных представителей детей по вопросам питания, ухода, безопасности и гигиене домашней обстановки и условий жизни семьи, по исключительно грудному вскармливанию, по опасным признакам и рискам для жизни, здоровья и развития.</w:t>
      </w:r>
    </w:p>
    <w:p>
      <w:r>
        <w:t xml:space="preserve">Ведет учетно-отчетную медицинскую документацию.</w:t>
      </w:r>
    </w:p>
    <w:p>
      <w:r>
        <w:t xml:space="preserve">Соблюдает медицинскую этику, правила внутреннего трудового распорядка противопожарной безопасности, по безопасности и охране труда, санитарно-эпидемиологического режима.</w:t>
      </w:r>
    </w:p>
    <w:p>
      <w:pPr>
        <w:pStyle w:val="Heading2"/>
      </w:pPr>
      <w:r>
        <w:t xml:space="preserve">Пункт 177-2</w:t>
      </w:r>
    </w:p>
    <w:p>
      <w:r>
        <w:t xml:space="preserve">177-2. Должен знать:</w:t>
      </w:r>
    </w:p>
    <w:p>
      <w:r>
        <w:t xml:space="preserve">Кодекс Республики Казахстан "О здоровье народа и системе здравоохранения", Кодекс Республики Казахстан "Об административных правонарушениях", Закон Республики Казахстан "О противодействии коррупции", Закон Республики Казахстан "О языках в Республике Казахстан", правила дезинфекции отработанного материала; вопросы организации деятельности среднего медицинского персонала, правила и нормы по безопасности и охране труда, производственной санитарии и противопожарной безопасности.</w:t>
      </w:r>
    </w:p>
    <w:p>
      <w:pPr>
        <w:pStyle w:val="Heading2"/>
      </w:pPr>
      <w:r>
        <w:t xml:space="preserve">Пункт 177-3</w:t>
      </w:r>
    </w:p>
    <w:p>
      <w:r>
        <w:t xml:space="preserve">177-3. Требования к квалификации:</w:t>
      </w:r>
    </w:p>
    <w:p>
      <w:r>
        <w:t xml:space="preserve">профессиональное медицинское образование по специальности "Сестринское дело" или "Лечебное дело", "Акушерское дело", и сертификат специалиста по специальности "Сестринское дело" или "Лечебное дело", "Акушерское дело", повышение квалификации: универсально-прогрессивная модель патронажа, интегрированное ведение болезней детского возраста.".</w:t>
      </w:r>
    </w:p>
    <w:p>
      <w:pPr>
        <w:pStyle w:val="Heading2"/>
      </w:pPr>
      <w:r>
        <w:t xml:space="preserve">Пункт 5</w:t>
      </w:r>
    </w:p>
    <w:p>
      <w:r>
        <w:t xml:space="preserve">5. Внести в приказ Министра здравоохранения Республики Казахстан от 31 марта 2023 года № 52 "Об утверждении стандарта организации оказания неонатальной помощи в Республике Казахстан" (зарегистрирован в Реестре государственной регистрации нормативных правовых актов под № 32214) следующие изменение и дополнения:</w:t>
      </w:r>
    </w:p>
    <w:p>
      <w:r>
        <w:t xml:space="preserve">в Стандарте организации оказания неонатальной помощи в Республике Казахстан, утвержденному указанным приказом:</w:t>
      </w:r>
    </w:p>
    <w:p>
      <w:r>
        <w:t xml:space="preserve">пункт 65 изложить в следующей редакции:</w:t>
      </w:r>
    </w:p>
    <w:p>
      <w:r>
        <w:t xml:space="preserve">"65. Выписка новорожденного из ОР осуществляется при его удовлетворительном состоянии и отсутствии медицинских показаний для пребывания в условиях круглосуточного стационара, с передачей информации о ребенке в ПМСП по месту фактического проживания и дальнейшего прикрепления новорожденного по форме согласно вкладному листу 11 к форме № 001/у "Медицинская карта стационарного пациента", утвержденной приказом № ҚР ДСМ-175/2020 .</w:t>
      </w:r>
    </w:p>
    <w:p>
      <w:r>
        <w:t xml:space="preserve">С целью своевременного проведения профилактических, лечебных или реабилитационных мероприятий по недопущению развития заболеваний или его осложнений у детей первого года жизни, осуществляется распределение новорожденных детей по группам риска на основании критериев распределения новорожденных по группам риска согласно приложению 12 к настоящему Стандарту.";</w:t>
      </w:r>
    </w:p>
    <w:p>
      <w:r>
        <w:t xml:space="preserve">дополнить пунктом 65-1 следующего содержания:</w:t>
      </w:r>
    </w:p>
    <w:p>
      <w:r>
        <w:t xml:space="preserve">"65-1. При выписке новорожденного осуществляется выдача аптечки матери и ребенка, в состав которой входит:</w:t>
      </w:r>
    </w:p>
    <w:p>
      <w:r>
        <w:t xml:space="preserve">руководство по уходу за ребенком на государственном и русском языках,</w:t>
      </w:r>
    </w:p>
    <w:p>
      <w:r>
        <w:t xml:space="preserve">информация о сроках проведения обязательных профилактических прививок в Республике Казахстан;</w:t>
      </w:r>
    </w:p>
    <w:p>
      <w:r>
        <w:t xml:space="preserve">термометр для воды;</w:t>
      </w:r>
    </w:p>
    <w:p>
      <w:r>
        <w:t xml:space="preserve">термометр медицинский (электронный);</w:t>
      </w:r>
    </w:p>
    <w:p>
      <w:r>
        <w:t xml:space="preserve">бинт стерильный 5 сантиметров на 10 сантиметров;</w:t>
      </w:r>
    </w:p>
    <w:p>
      <w:r>
        <w:t xml:space="preserve">слизеотсос для носовых путей;</w:t>
      </w:r>
    </w:p>
    <w:p>
      <w:r>
        <w:t xml:space="preserve">крем детский;</w:t>
      </w:r>
    </w:p>
    <w:p>
      <w:r>
        <w:t xml:space="preserve">мыло детское;</w:t>
      </w:r>
    </w:p>
    <w:p>
      <w:r>
        <w:t xml:space="preserve">антисептическое средство для рук;</w:t>
      </w:r>
    </w:p>
    <w:p>
      <w:r>
        <w:t xml:space="preserve">вата стерильная 200 грамм;</w:t>
      </w:r>
    </w:p>
    <w:p>
      <w:r>
        <w:t xml:space="preserve">оральная регидратационая соль.</w:t>
      </w:r>
    </w:p>
    <w:p>
      <w:r>
        <w:t xml:space="preserve">Выдача аптечек матери и ребенка новорожденным осуществляется при выписке из организаций родовспоможения. Отметка о выдаче аптечек матери и ребенка вносится в историю развития новорожденного по форме, в соответствии с формами учетной документации в области здравоохранения, утвержденной приказом № ҚР ДСМ-175/2020.";</w:t>
      </w:r>
    </w:p>
    <w:p>
      <w:r>
        <w:t xml:space="preserve">дополнить приложением 12 согласно приложению 2 к настоящему перечню.</w:t>
      </w:r>
    </w:p>
    <w:p>
      <w:r>
        <w:t xml:space="preserve">|  | Приложение 1 к Перечню некоторых приказов Министра здравоохранения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14 к Правилам организации скрининга |</w:t>
      </w:r>
    </w:p>
    <w:p>
      <w:pPr>
        <w:pStyle w:val="Heading2"/>
      </w:pPr>
      <w:r>
        <w:t xml:space="preserve">Глава Анкетирование законных представителей детей в соответствии с возрастом ребенка и оценка критериев развития ребенка</w:t>
      </w:r>
    </w:p>
    <w:p>
      <w:pPr>
        <w:pStyle w:val="Heading2"/>
      </w:pPr>
      <w:r>
        <w:t xml:space="preserve">Глава Оценка критериев нервно-психического развития ребенка в возрасте от 2 до 3 месяцев включительно</w:t>
      </w:r>
    </w:p>
    <w:p>
      <w:r>
        <w:t xml:space="preserve">| Крупная моторика |  |  |</w:t>
      </w:r>
    </w:p>
    <w:p>
      <w:r>
        <w:t xml:space="preserve">|---|---|---|</w:t>
      </w:r>
    </w:p>
    <w:p>
      <w:r>
        <w:t xml:space="preserve">| Держит голову | Да | Нет |</w:t>
      </w:r>
    </w:p>
    <w:p>
      <w:r>
        <w:t xml:space="preserve">| Сам соединяет руки по средней линии | Да | Нет |</w:t>
      </w:r>
    </w:p>
    <w:p>
      <w:r>
        <w:t xml:space="preserve">| Поднимает голову лежа на животе | Да | Нет |</w:t>
      </w:r>
    </w:p>
    <w:p>
      <w:r>
        <w:t xml:space="preserve">| Берет в рот пальцы | Да | Нет |</w:t>
      </w:r>
    </w:p>
    <w:p>
      <w:r>
        <w:t xml:space="preserve">| Чувствительная сфера и язык |  |  |</w:t>
      </w:r>
    </w:p>
    <w:p>
      <w:r>
        <w:t xml:space="preserve">| Фиксирует взор на ярких предметах | Да | Нет |</w:t>
      </w:r>
    </w:p>
    <w:p>
      <w:r>
        <w:t xml:space="preserve">| Прослеживает глаза по средней линии | Да | Нет |</w:t>
      </w:r>
    </w:p>
    <w:p>
      <w:r>
        <w:t xml:space="preserve">| Узнает мать | Да | Нет |</w:t>
      </w:r>
    </w:p>
    <w:p>
      <w:r>
        <w:t xml:space="preserve">| Поворачивает голову в сторону звука, смеется в голос | Да | Нет |</w:t>
      </w:r>
    </w:p>
    <w:p>
      <w:r>
        <w:t xml:space="preserve">| Может сосать и глотать | Да | Нет |</w:t>
      </w:r>
    </w:p>
    <w:p>
      <w:r>
        <w:t xml:space="preserve">| Социальная сфера |  |  |</w:t>
      </w:r>
    </w:p>
    <w:p>
      <w:r>
        <w:t xml:space="preserve">| Улыбается в ответ на улыбку взрослого, смотрит в глаза | Да | Нет |</w:t>
      </w:r>
    </w:p>
    <w:p>
      <w:r>
        <w:t xml:space="preserve">| Улыбается спонтанно | Да | Нет |</w:t>
      </w:r>
    </w:p>
    <w:p>
      <w:r>
        <w:t xml:space="preserve">| Реагирует на лицо взрослого | Да | Нет |</w:t>
      </w:r>
    </w:p>
    <w:p>
      <w:pPr>
        <w:pStyle w:val="Heading2"/>
      </w:pPr>
      <w:r>
        <w:t xml:space="preserve">Текст</w:t>
      </w:r>
    </w:p>
    <w:p>
      <w:r>
        <w:t xml:space="preserve">*если два "нет" в двух разных областях, требуется консультация МДГ.</w:t>
      </w:r>
    </w:p>
    <w:p>
      <w:pPr>
        <w:pStyle w:val="Heading2"/>
      </w:pPr>
      <w:r>
        <w:t xml:space="preserve">Глава Оценка критериев нервно-психического развития ребенка в возрасте от 4 до 6 месяцев включительно</w:t>
      </w:r>
    </w:p>
    <w:p>
      <w:r>
        <w:t xml:space="preserve">| Крупная моторика |  |  |</w:t>
      </w:r>
    </w:p>
    <w:p>
      <w:r>
        <w:t xml:space="preserve">|---|---|---|</w:t>
      </w:r>
    </w:p>
    <w:p>
      <w:r>
        <w:t xml:space="preserve">| Держит голову устойчиво, не шатаясь | Да | Нет |</w:t>
      </w:r>
    </w:p>
    <w:p>
      <w:r>
        <w:t xml:space="preserve">| Поднимает грудь, опираясь на предплечья | Да | Нет |</w:t>
      </w:r>
    </w:p>
    <w:p>
      <w:r>
        <w:t xml:space="preserve">| Переворачивается со спины на живот | Да | Нет |</w:t>
      </w:r>
    </w:p>
    <w:p>
      <w:r>
        <w:t xml:space="preserve">| Мелкая моторика |  |  |</w:t>
      </w:r>
    </w:p>
    <w:p>
      <w:r>
        <w:t xml:space="preserve">| Хватает погремушки | Да | Нет |</w:t>
      </w:r>
    </w:p>
    <w:p>
      <w:r>
        <w:t xml:space="preserve">| Играет своими ручками | Да | Нет |</w:t>
      </w:r>
    </w:p>
    <w:p>
      <w:r>
        <w:t xml:space="preserve">| Чувствительная сфера и язык |  |  |</w:t>
      </w:r>
    </w:p>
    <w:p>
      <w:r>
        <w:t xml:space="preserve">| Узнает голос матери, узнает мать (радуется) | Да | Нет |</w:t>
      </w:r>
    </w:p>
    <w:p>
      <w:r>
        <w:t xml:space="preserve">| Прослеживает глазами на 180 градусов | Да | Нет |</w:t>
      </w:r>
    </w:p>
    <w:p>
      <w:r>
        <w:t xml:space="preserve">| Обращает внимание на мелкие контрастные предметы | Да | Нет |</w:t>
      </w:r>
    </w:p>
    <w:p>
      <w:r>
        <w:t xml:space="preserve">| Ищет говорящего, смотрит в глаза | Да | Нет |</w:t>
      </w:r>
    </w:p>
    <w:p>
      <w:r>
        <w:t xml:space="preserve">| Социальная сфера |  |  |</w:t>
      </w:r>
    </w:p>
    <w:p>
      <w:r>
        <w:t xml:space="preserve">| Узнает мать (радуется), смотрит в глаза | Да | Нет |</w:t>
      </w:r>
    </w:p>
    <w:p>
      <w:r>
        <w:t xml:space="preserve">| Улыбается спонтанно, | Да | Нет |</w:t>
      </w:r>
    </w:p>
    <w:p>
      <w:r>
        <w:t xml:space="preserve">| Придерживает грудь матери или бутылочку во время кормления | Да | Нет |</w:t>
      </w:r>
    </w:p>
    <w:p>
      <w:pPr>
        <w:pStyle w:val="Heading2"/>
      </w:pPr>
      <w:r>
        <w:t xml:space="preserve">Текст</w:t>
      </w:r>
    </w:p>
    <w:p>
      <w:r>
        <w:t xml:space="preserve">*если два "нет" в двух разных областях, требуется консультация МДГ</w:t>
      </w:r>
    </w:p>
    <w:p>
      <w:pPr>
        <w:pStyle w:val="Heading2"/>
      </w:pPr>
      <w:r>
        <w:t xml:space="preserve">Глава Оценка критериев нервно-психического развития ребенка в возрасте от 6 месяцев до 11 месяцев включительно</w:t>
      </w:r>
    </w:p>
    <w:p>
      <w:r>
        <w:t xml:space="preserve">| Крупная моторика |  |  |</w:t>
      </w:r>
    </w:p>
    <w:p>
      <w:r>
        <w:t xml:space="preserve">|---|---|---|</w:t>
      </w:r>
    </w:p>
    <w:p>
      <w:r>
        <w:t xml:space="preserve">| Сидит, опираясь на руки | Да | Нет |</w:t>
      </w:r>
    </w:p>
    <w:p>
      <w:r>
        <w:t xml:space="preserve">| Мелкая моторика |  |  |</w:t>
      </w:r>
    </w:p>
    <w:p>
      <w:r>
        <w:t xml:space="preserve">| Берет предмет, удерживаемый на расстоянии | Да | Нет |</w:t>
      </w:r>
    </w:p>
    <w:p>
      <w:r>
        <w:t xml:space="preserve">| Использует одну или другую руку, без предпочтения | Да | Нет |</w:t>
      </w:r>
    </w:p>
    <w:p>
      <w:r>
        <w:t xml:space="preserve">| Мигает, когда объект приближается к левому или правому глазу | Да | Нет |</w:t>
      </w:r>
    </w:p>
    <w:p>
      <w:r>
        <w:t xml:space="preserve">| Находит предмет, который только что спрятали (ожидается в 9 месяцев) | Да | Нет |</w:t>
      </w:r>
    </w:p>
    <w:p>
      <w:r>
        <w:t xml:space="preserve">| Чувствительная сфера и язык |  |  |</w:t>
      </w:r>
    </w:p>
    <w:p>
      <w:r>
        <w:t xml:space="preserve">| Произносит различные звуки | Да | Нет |</w:t>
      </w:r>
    </w:p>
    <w:p>
      <w:r>
        <w:t xml:space="preserve">| Поворачивает голову, чтобы посмотреть на говорящего | Да | Нет |</w:t>
      </w:r>
    </w:p>
    <w:p>
      <w:r>
        <w:t xml:space="preserve">| Реагирует на свое имя (с 9 месяцев) | Да | Нет |</w:t>
      </w:r>
    </w:p>
    <w:p>
      <w:r>
        <w:t xml:space="preserve">| Социальная сфера |  |  |</w:t>
      </w:r>
    </w:p>
    <w:p>
      <w:r>
        <w:t xml:space="preserve">| Привлекает взгляд другого человека (например, плачет, когда на него смотрят, и перестает плакать, когда на него смотрят), смотрит в глаза | Да | Нет |</w:t>
      </w:r>
    </w:p>
    <w:p>
      <w:pPr>
        <w:pStyle w:val="Heading2"/>
      </w:pPr>
      <w:r>
        <w:t xml:space="preserve">Текст</w:t>
      </w:r>
    </w:p>
    <w:p>
      <w:r>
        <w:t xml:space="preserve">*если два "нет" в двух разных областях, требуется консультация МДГ.</w:t>
      </w:r>
    </w:p>
    <w:p>
      <w:pPr>
        <w:pStyle w:val="Heading2"/>
      </w:pPr>
      <w:r>
        <w:t xml:space="preserve">Глава Оценка критериев нервно-психического развития ребенка в возрасте от 12 до 17 месяцев включительно (от 1 года до 1 года 4 месяцев)</w:t>
      </w:r>
    </w:p>
    <w:p>
      <w:r>
        <w:t xml:space="preserve">| Крупная моторика |  |  |</w:t>
      </w:r>
    </w:p>
    <w:p>
      <w:r>
        <w:t xml:space="preserve">|---|---|---|</w:t>
      </w:r>
    </w:p>
    <w:p>
      <w:r>
        <w:t xml:space="preserve">| Самостоятельно переходит из положения лежа в положение сидя | Да | Нет |</w:t>
      </w:r>
    </w:p>
    <w:p>
      <w:r>
        <w:t xml:space="preserve">| Сидит самостоятельно без поддержки или помощи, спина прямая | Да | Нет |</w:t>
      </w:r>
    </w:p>
    <w:p>
      <w:r>
        <w:t xml:space="preserve">| Ходит | Да | Нет |</w:t>
      </w:r>
    </w:p>
    <w:p>
      <w:r>
        <w:t xml:space="preserve">| Мелкая моторика |  |  |</w:t>
      </w:r>
    </w:p>
    <w:p>
      <w:r>
        <w:t xml:space="preserve">| Удерживает мелкие предметы между большим и указательным пальцами | Да | Нет |</w:t>
      </w:r>
    </w:p>
    <w:p>
      <w:r>
        <w:t xml:space="preserve">| Манипулирует обеими руками | Да | Нет |</w:t>
      </w:r>
    </w:p>
    <w:p>
      <w:r>
        <w:t xml:space="preserve">| Следит глазами за движущимся объектом во всех направлениях | Да | Нет |</w:t>
      </w:r>
    </w:p>
    <w:p>
      <w:r>
        <w:t xml:space="preserve">| Чувствительная сфера и язык |  |  |</w:t>
      </w:r>
    </w:p>
    <w:p>
      <w:r>
        <w:t xml:space="preserve">| Произносит удвоенные слоги ("ба-ба", "та-та", "па-па") | Да | Нет |</w:t>
      </w:r>
    </w:p>
    <w:p>
      <w:r>
        <w:t xml:space="preserve">| Понимает запрет "нет" | Да | Нет |</w:t>
      </w:r>
    </w:p>
    <w:p>
      <w:r>
        <w:t xml:space="preserve">| Социальная сфера |  |  |</w:t>
      </w:r>
    </w:p>
    <w:p>
      <w:r>
        <w:t xml:space="preserve">| Делает социальные жесты (до свидания, все хорошо) | Да | Нет |</w:t>
      </w:r>
    </w:p>
    <w:p>
      <w:r>
        <w:t xml:space="preserve">| Смотрит на то, на что указывает взрослый (совместное внимание), смотрит в глаза | Да | Нет |</w:t>
      </w:r>
    </w:p>
    <w:p>
      <w:pPr>
        <w:pStyle w:val="Heading2"/>
      </w:pPr>
      <w:r>
        <w:t xml:space="preserve">Текст</w:t>
      </w:r>
    </w:p>
    <w:p>
      <w:r>
        <w:t xml:space="preserve">*если два "нет" в двух разных областях, требуется консультация МДГ.</w:t>
      </w:r>
    </w:p>
    <w:p>
      <w:pPr>
        <w:pStyle w:val="Heading2"/>
      </w:pPr>
      <w:r>
        <w:t xml:space="preserve">Глава Оценка критериев нервно-психического развития ребенка в возрасте от 18 до 23 месяцев включительно (от 1 года 6 месяцев до 1 года 11 месяцев)</w:t>
      </w:r>
    </w:p>
    <w:p>
      <w:r>
        <w:t xml:space="preserve">| Крупная моторика |  |  |</w:t>
      </w:r>
    </w:p>
    <w:p>
      <w:r>
        <w:t xml:space="preserve">|---|---|---|</w:t>
      </w:r>
    </w:p>
    <w:p>
      <w:r>
        <w:t xml:space="preserve">| Встает самостоятельно с пола (переходит из положения сидя в положение стоя без посторонней помощи) | Да | Нет |</w:t>
      </w:r>
    </w:p>
    <w:p>
      <w:r>
        <w:t xml:space="preserve">| Ходит без посторонней помощи, полностью опираясь на стопу (более пяти шагов) | Да | Нет |</w:t>
      </w:r>
    </w:p>
    <w:p>
      <w:r>
        <w:t xml:space="preserve">| Мелкая моторика |  |  |</w:t>
      </w:r>
    </w:p>
    <w:p>
      <w:r>
        <w:t xml:space="preserve">| Складывает два кубика (из модели) | Да | Нет |</w:t>
      </w:r>
    </w:p>
    <w:p>
      <w:r>
        <w:t xml:space="preserve">| Вставляет небольшие фигурки определенной формы в отверстие развивающей игрушки | Да | Нет |</w:t>
      </w:r>
    </w:p>
    <w:p>
      <w:r>
        <w:t xml:space="preserve">| Речь |  |  |</w:t>
      </w:r>
    </w:p>
    <w:p>
      <w:r>
        <w:t xml:space="preserve">| Называет предметы или изображения по просьбе (кошка, мяч, машина) | Да | Нет |</w:t>
      </w:r>
    </w:p>
    <w:p>
      <w:r>
        <w:t xml:space="preserve">| Понимает простые инструкции (открыть глаза, поднять ногу) | Да | Нет |</w:t>
      </w:r>
    </w:p>
    <w:p>
      <w:r>
        <w:t xml:space="preserve">| Произносит спонтанно пять слов (мама, спать, папа, здесь) | Да | Нет |</w:t>
      </w:r>
    </w:p>
    <w:p>
      <w:r>
        <w:t xml:space="preserve">| Социальная сфера |  |  |</w:t>
      </w:r>
    </w:p>
    <w:p>
      <w:r>
        <w:t xml:space="preserve">| Умеет выражать отказ (говорит "нет", качает головой, отталкивает рукой) | Да | Нет |</w:t>
      </w:r>
    </w:p>
    <w:p>
      <w:r>
        <w:t xml:space="preserve">| Указывает пальцем на то, что интересует, чтобы привлечь внимание взрослого, смотрит в глаза | Да | Нет |</w:t>
      </w:r>
    </w:p>
    <w:p>
      <w:pPr>
        <w:pStyle w:val="Heading2"/>
      </w:pPr>
      <w:r>
        <w:t xml:space="preserve">Текст</w:t>
      </w:r>
    </w:p>
    <w:p>
      <w:r>
        <w:t xml:space="preserve">*если два "нет" в двух разных областях, требуется консультация МДГ.</w:t>
      </w:r>
    </w:p>
    <w:p>
      <w:pPr>
        <w:pStyle w:val="Heading2"/>
      </w:pPr>
      <w:r>
        <w:t xml:space="preserve">Глава Оценка критериев нервно-психического развития ребенка в возрасте от 24 до 35 месяцев включительно (от 2 лет до 2 лет 9 месяцев)</w:t>
      </w:r>
    </w:p>
    <w:p>
      <w:r>
        <w:t xml:space="preserve">| Крупная моторика |  |  |</w:t>
      </w:r>
    </w:p>
    <w:p>
      <w:r>
        <w:t xml:space="preserve">|---|---|---|</w:t>
      </w:r>
    </w:p>
    <w:p>
      <w:r>
        <w:t xml:space="preserve">| Скоординированные движения рук | Да | Нет |</w:t>
      </w:r>
    </w:p>
    <w:p>
      <w:r>
        <w:t xml:space="preserve">| Поднимается по лестнице шаг за шагом (самостоятельно или с посторонней помощью) | Да | Нет |</w:t>
      </w:r>
    </w:p>
    <w:p>
      <w:r>
        <w:t xml:space="preserve">| Бросает мяч (после демонстрации) | Да | Нет |</w:t>
      </w:r>
    </w:p>
    <w:p>
      <w:r>
        <w:t xml:space="preserve">| Мелкая моторика |  |  |</w:t>
      </w:r>
    </w:p>
    <w:p>
      <w:r>
        <w:t xml:space="preserve">| Складывает пять кубиков | Да | Нет |</w:t>
      </w:r>
    </w:p>
    <w:p>
      <w:r>
        <w:t xml:space="preserve">| Использует ложку (даже, если плохо попадает в рот) | Да | Нет |</w:t>
      </w:r>
    </w:p>
    <w:p>
      <w:r>
        <w:t xml:space="preserve">| Может указать на предмет или картинку, которые только что были показаны на столе или в книге | Да | Нет |</w:t>
      </w:r>
    </w:p>
    <w:p>
      <w:r>
        <w:t xml:space="preserve">| Встраивает простые геометрические фигуры в отверстие развивающей игрушки | Да | Нет |</w:t>
      </w:r>
    </w:p>
    <w:p>
      <w:r>
        <w:t xml:space="preserve">| Речь |  |  |</w:t>
      </w:r>
    </w:p>
    <w:p>
      <w:r>
        <w:t xml:space="preserve">| Спонтанно произносит более десяти обычных слов | Да | Нет |</w:t>
      </w:r>
    </w:p>
    <w:p>
      <w:r>
        <w:t xml:space="preserve">| Соединяет два слова (ребенок спит, мама ушла) | Да | Нет |</w:t>
      </w:r>
    </w:p>
    <w:p>
      <w:r>
        <w:t xml:space="preserve">| Использует местоимение "я" по отношению к себе (или эквивалент на родном языке) | Да | Нет |</w:t>
      </w:r>
    </w:p>
    <w:p>
      <w:r>
        <w:t xml:space="preserve">| Социальная сфера |  |  |</w:t>
      </w:r>
    </w:p>
    <w:p>
      <w:r>
        <w:t xml:space="preserve">| Принимает участие в ролевых играх и играх-имитациях (кухня, гараж) | Да | Нет |</w:t>
      </w:r>
    </w:p>
    <w:p>
      <w:r>
        <w:t xml:space="preserve">| Интересуется другими детьми (детский сад, братья и сестры) | Да | Нет |</w:t>
      </w:r>
    </w:p>
    <w:p>
      <w:pPr>
        <w:pStyle w:val="Heading2"/>
      </w:pPr>
      <w:r>
        <w:t xml:space="preserve">Текст</w:t>
      </w:r>
    </w:p>
    <w:p>
      <w:r>
        <w:t xml:space="preserve">* если два "нет" в двух разных областях, требуется консультация МДГ.</w:t>
      </w:r>
    </w:p>
    <w:p>
      <w:pPr>
        <w:pStyle w:val="Heading2"/>
      </w:pPr>
      <w:r>
        <w:t xml:space="preserve">Глава Оценка критериев нервно-психического развития ребенка в возрасте от 36 до 47 месяца включительно (от 3 лет до 3 лет 11 месяцев)</w:t>
      </w:r>
    </w:p>
    <w:p>
      <w:r>
        <w:t xml:space="preserve">| Крупная моторика |  |  |</w:t>
      </w:r>
    </w:p>
    <w:p>
      <w:r>
        <w:t xml:space="preserve">|---|---|---|</w:t>
      </w:r>
    </w:p>
    <w:p>
      <w:r>
        <w:t xml:space="preserve">| Скоординированные движения рук | Да | Нет |</w:t>
      </w:r>
    </w:p>
    <w:p>
      <w:r>
        <w:t xml:space="preserve">| Поднимается по лестнице в одиночку, поочередно переставляя ноги держась за поручень | Да | Нет |</w:t>
      </w:r>
    </w:p>
    <w:p>
      <w:r>
        <w:t xml:space="preserve">| Прыгает на двух ногах | Да | Нет |</w:t>
      </w:r>
    </w:p>
    <w:p>
      <w:r>
        <w:t xml:space="preserve">| Мелкая моторика |  |  |</w:t>
      </w:r>
    </w:p>
    <w:p>
      <w:r>
        <w:t xml:space="preserve">| Складывает восемь кубиков (по шаблону) | Да | Нет |</w:t>
      </w:r>
    </w:p>
    <w:p>
      <w:r>
        <w:t xml:space="preserve">| Рисует круг из визуального шаблона | Да | Нет |</w:t>
      </w:r>
    </w:p>
    <w:p>
      <w:r>
        <w:t xml:space="preserve">| Надевает только один предмет из одежды (шапку, брюки, футболку) | Да | Нет |</w:t>
      </w:r>
    </w:p>
    <w:p>
      <w:r>
        <w:t xml:space="preserve">| Речь |  |  |</w:t>
      </w:r>
    </w:p>
    <w:p>
      <w:r>
        <w:t xml:space="preserve">| Говорит предложения из простых трех слов | Да | Нет |</w:t>
      </w:r>
    </w:p>
    <w:p>
      <w:r>
        <w:t xml:space="preserve">| Говоря о себе, использует свое имя или местоимение "я" | Да | Нет |</w:t>
      </w:r>
    </w:p>
    <w:p>
      <w:r>
        <w:t xml:space="preserve">| Выполняет простые устные просьбы (без жестового подкрепления со стороны взрослого) | Да | Нет |</w:t>
      </w:r>
    </w:p>
    <w:p>
      <w:r>
        <w:t xml:space="preserve">| Социальная сфера |  |  |</w:t>
      </w:r>
    </w:p>
    <w:p>
      <w:r>
        <w:t xml:space="preserve">| Любит играть с детьми своего возраста | Да | Нет |</w:t>
      </w:r>
    </w:p>
    <w:p>
      <w:r>
        <w:t xml:space="preserve">| Умеет участвовать в деятельности или играх в парах или группах | Да | Нет |</w:t>
      </w:r>
    </w:p>
    <w:p>
      <w:pPr>
        <w:pStyle w:val="Heading2"/>
      </w:pPr>
      <w:r>
        <w:t xml:space="preserve">Текст</w:t>
      </w:r>
    </w:p>
    <w:p>
      <w:r>
        <w:t xml:space="preserve">* если два "нет" в двух разных областях, требуется консультация МДГ.</w:t>
      </w:r>
    </w:p>
    <w:p>
      <w:pPr>
        <w:pStyle w:val="Heading2"/>
      </w:pPr>
      <w:r>
        <w:t xml:space="preserve">Глава Оценка критериев нервно-психического развития ребенка в возрасте от 48 до 59 месяцев включительно (от 4 лет до 4 лет 11 месяцев)</w:t>
      </w:r>
    </w:p>
    <w:p>
      <w:r>
        <w:t xml:space="preserve">| Крупные моторные навыки, контроль осанки и локомоция |  |  |</w:t>
      </w:r>
    </w:p>
    <w:p>
      <w:r>
        <w:t xml:space="preserve">|---|---|---|</w:t>
      </w:r>
    </w:p>
    <w:p>
      <w:r>
        <w:t xml:space="preserve">| Прыгает обеими ногами (хотя бы на месте) | Да | Нет |</w:t>
      </w:r>
    </w:p>
    <w:p>
      <w:r>
        <w:t xml:space="preserve">| Поднимается по лестнице, не держась за поручень, поочередно переставляя ноги | Да | Нет |</w:t>
      </w:r>
    </w:p>
    <w:p>
      <w:r>
        <w:t xml:space="preserve">| Бросает мяч целенаправленно | Да | Нет |</w:t>
      </w:r>
    </w:p>
    <w:p>
      <w:r>
        <w:t xml:space="preserve">| Может крутить педали на трехколесном велосипеде | Да | Нет |</w:t>
      </w:r>
    </w:p>
    <w:p>
      <w:r>
        <w:t xml:space="preserve">| Умеет спокойно сидеть, когда это необходимо (за столом, в детском саду и т.д.) в течение периода времени, соответствующего ситуации | Да | Нет |</w:t>
      </w:r>
    </w:p>
    <w:p>
      <w:r>
        <w:t xml:space="preserve">| Мелкая моторика |  |  |</w:t>
      </w:r>
    </w:p>
    <w:p>
      <w:r>
        <w:t xml:space="preserve">| Рисует фигуру человека с частями тела | Да | Нет |</w:t>
      </w:r>
    </w:p>
    <w:p>
      <w:r>
        <w:t xml:space="preserve">| Рисует увиденные знаки и фигуры (крест, квадрат, круг) | Да | Нет |</w:t>
      </w:r>
    </w:p>
    <w:p>
      <w:r>
        <w:t xml:space="preserve">| Надевает сам пальто | Да | Нет |</w:t>
      </w:r>
    </w:p>
    <w:p>
      <w:r>
        <w:t xml:space="preserve">| Строит мост из трех кубиков (после демонстрации) | Да | Нет |</w:t>
      </w:r>
    </w:p>
    <w:p>
      <w:r>
        <w:t xml:space="preserve">| Речь |  |  |</w:t>
      </w:r>
    </w:p>
    <w:p>
      <w:r>
        <w:t xml:space="preserve">| Говорит на языке, понятном человеку за пределами семьи | Да | Нет |</w:t>
      </w:r>
    </w:p>
    <w:p>
      <w:r>
        <w:t xml:space="preserve">| Спрягает глаголы в настоящем времени | Да | Нет |</w:t>
      </w:r>
    </w:p>
    <w:p>
      <w:r>
        <w:t xml:space="preserve">| Задает вопрос "почему?" | Да | Нет |</w:t>
      </w:r>
    </w:p>
    <w:p>
      <w:r>
        <w:t xml:space="preserve">| Выполняет действия при сложной просьбе (принеси пальто из своей комнаты) | Да | Нет |</w:t>
      </w:r>
    </w:p>
    <w:p>
      <w:r>
        <w:t xml:space="preserve">| Познание |  |  |</w:t>
      </w:r>
    </w:p>
    <w:p>
      <w:r>
        <w:t xml:space="preserve">| Играет в творческую игру со сценариями | Да | Нет |</w:t>
      </w:r>
    </w:p>
    <w:p>
      <w:r>
        <w:t xml:space="preserve">| Считает (перечисляет) четыре предмета | Да | Нет |</w:t>
      </w:r>
    </w:p>
    <w:p>
      <w:r>
        <w:t xml:space="preserve">| Может сортировать объекты по категориям (цвета, формы) | Да | Нет |</w:t>
      </w:r>
    </w:p>
    <w:p>
      <w:r>
        <w:t xml:space="preserve">| Чаще всего удается завершить занятие или игру в школе или дома | Да | Нет |</w:t>
      </w:r>
    </w:p>
    <w:p>
      <w:r>
        <w:t xml:space="preserve">| Социальная сфера |  |  |</w:t>
      </w:r>
    </w:p>
    <w:p>
      <w:r>
        <w:t xml:space="preserve">| Умеет играть по очереди в игре, в которой два или более человек | Да | Нет |</w:t>
      </w:r>
    </w:p>
    <w:p>
      <w:pPr>
        <w:pStyle w:val="Heading2"/>
      </w:pPr>
      <w:r>
        <w:t xml:space="preserve">Текст</w:t>
      </w:r>
    </w:p>
    <w:p>
      <w:r>
        <w:t xml:space="preserve">*если три "нет" в двух разных областях, требуется консультация МДГ.</w:t>
      </w:r>
    </w:p>
    <w:p>
      <w:pPr>
        <w:pStyle w:val="Heading2"/>
      </w:pPr>
      <w:r>
        <w:t xml:space="preserve">Глава Оценка критериев нервно-психического развития ребенка в возрасте от 60 до 71 месяца включительно (от 5 лет до 5 лет 11 месяцев)</w:t>
      </w:r>
    </w:p>
    <w:p>
      <w:r>
        <w:t xml:space="preserve">| Крупная моторика |  |  |</w:t>
      </w:r>
    </w:p>
    <w:p>
      <w:r>
        <w:t xml:space="preserve">|---|---|---|</w:t>
      </w:r>
    </w:p>
    <w:p>
      <w:r>
        <w:t xml:space="preserve">| Может стоять на одной ноге не менее пяти секунд без поддержки | Да | Нет |</w:t>
      </w:r>
    </w:p>
    <w:p>
      <w:r>
        <w:t xml:space="preserve">| Ходит в шеренге (ставя одну ногу перед другой) | Да | Нет |</w:t>
      </w:r>
    </w:p>
    <w:p>
      <w:r>
        <w:t xml:space="preserve">| Ловит мяч руками | Да | Нет |</w:t>
      </w:r>
    </w:p>
    <w:p>
      <w:r>
        <w:t xml:space="preserve">| Умеет сохранять тишину и сидеть спокойно, когда это необходимо (за столом, в детском саду) | Да | Нет |</w:t>
      </w:r>
    </w:p>
    <w:p>
      <w:r>
        <w:t xml:space="preserve">| Мелкая моторика |  |  |</w:t>
      </w:r>
    </w:p>
    <w:p>
      <w:r>
        <w:t xml:space="preserve">| Рисует контурное изображение (минимум два овала) | Да | Нет |</w:t>
      </w:r>
    </w:p>
    <w:p>
      <w:r>
        <w:t xml:space="preserve">| Пишит свое имя заглавными буквами (с образца) | Да | Нет |</w:t>
      </w:r>
    </w:p>
    <w:p>
      <w:r>
        <w:t xml:space="preserve">| Рисует квадрат (с четырьмя отдельными углами) | Да | Нет |</w:t>
      </w:r>
    </w:p>
    <w:p>
      <w:r>
        <w:t xml:space="preserve">| Речь |  |  |</w:t>
      </w:r>
    </w:p>
    <w:p>
      <w:r>
        <w:t xml:space="preserve">| Составляет предложения из шести слов с правильной грамматикой | Да | Нет |</w:t>
      </w:r>
    </w:p>
    <w:p>
      <w:r>
        <w:t xml:space="preserve">| Использует в речи слова (внутри/на/позади) | Да | Нет |</w:t>
      </w:r>
    </w:p>
    <w:p>
      <w:r>
        <w:t xml:space="preserve">| Называет не менее трех цветов | Да | Нет |</w:t>
      </w:r>
    </w:p>
    <w:p>
      <w:r>
        <w:t xml:space="preserve">| Познание |  |  |</w:t>
      </w:r>
    </w:p>
    <w:p>
      <w:r>
        <w:t xml:space="preserve">| Описывает картинку (персонажи, предметы, действия) | Да | Нет |</w:t>
      </w:r>
    </w:p>
    <w:p>
      <w:r>
        <w:t xml:space="preserve">| Считает до десяти | Да | Нет |</w:t>
      </w:r>
    </w:p>
    <w:p>
      <w:r>
        <w:t xml:space="preserve">| Удерживает внимание в течение десяти минут на интересующем его предмете | Да | Нет |</w:t>
      </w:r>
    </w:p>
    <w:p>
      <w:r>
        <w:t xml:space="preserve">| Социальная сфера |  |  |</w:t>
      </w:r>
    </w:p>
    <w:p>
      <w:r>
        <w:t xml:space="preserve">| Знает имена нескольких детей (родственников, из детского сада) | Да | Нет |</w:t>
      </w:r>
    </w:p>
    <w:p>
      <w:r>
        <w:t xml:space="preserve">| Участвует в командных играх, соблюдая правила | Да | Нет |</w:t>
      </w:r>
    </w:p>
    <w:p>
      <w:pPr>
        <w:pStyle w:val="Heading2"/>
      </w:pPr>
      <w:r>
        <w:t xml:space="preserve">Текст</w:t>
      </w:r>
    </w:p>
    <w:p>
      <w:r>
        <w:t xml:space="preserve">*если три "нет" в двух разных областях, требуется консультация МДГ.</w:t>
      </w:r>
    </w:p>
    <w:p>
      <w:pPr>
        <w:pStyle w:val="Heading2"/>
      </w:pPr>
      <w:r>
        <w:t xml:space="preserve">Глава Оценка критериев нервно-психического развития ребенка в возрасте от 72 до 83 месяца включительно (от 6 лет до 6 лет 11 месяцев)</w:t>
      </w:r>
    </w:p>
    <w:p>
      <w:r>
        <w:t xml:space="preserve">| Крупная моторика |  |  |</w:t>
      </w:r>
    </w:p>
    <w:p>
      <w:r>
        <w:t xml:space="preserve">|---|---|---|</w:t>
      </w:r>
    </w:p>
    <w:p>
      <w:r>
        <w:t xml:space="preserve">| Прыгает на одной ноге от трех до пяти раз (на месте или в движении вперед) | Да | Нет |</w:t>
      </w:r>
    </w:p>
    <w:p>
      <w:r>
        <w:t xml:space="preserve">| Едет плавно и умеет резко останавливаться (на велосипеде, на самокате) | Да | Нет |</w:t>
      </w:r>
    </w:p>
    <w:p>
      <w:r>
        <w:t xml:space="preserve">| Умеет ходить на цыпочках | Да | Нет |</w:t>
      </w:r>
    </w:p>
    <w:p>
      <w:r>
        <w:t xml:space="preserve">| Умеет сохранять тишину и сидеть спокойно, когда это необходимо (за столом, в школе, в детском саду) | Да | Нет |</w:t>
      </w:r>
    </w:p>
    <w:p>
      <w:r>
        <w:t xml:space="preserve">| Мелкая моторика |  |  |</w:t>
      </w:r>
    </w:p>
    <w:p>
      <w:r>
        <w:t xml:space="preserve">| Застегивает свою одежду (пуговицы или молнию) | Да | Нет |</w:t>
      </w:r>
    </w:p>
    <w:p>
      <w:r>
        <w:t xml:space="preserve">| После демонстрации касается каждого пальца той же руки большим пальцем | Да | Нет |</w:t>
      </w:r>
    </w:p>
    <w:p>
      <w:r>
        <w:t xml:space="preserve">| Рисует треугольник | Да | Нет |</w:t>
      </w:r>
    </w:p>
    <w:p>
      <w:r>
        <w:t xml:space="preserve">| Моет и высушивает руки без посторонней помощи | Да | Нет |</w:t>
      </w:r>
    </w:p>
    <w:p>
      <w:r>
        <w:t xml:space="preserve">| Речь |  |  |</w:t>
      </w:r>
    </w:p>
    <w:p>
      <w:r>
        <w:t xml:space="preserve">| Может рассказать короткую историю структурированно (с началом, серединой и концом – например, рассказ, который ему прочитали, мультфильм, который он увидел, событие, которое произошло с ним) | Да | Нет |</w:t>
      </w:r>
    </w:p>
    <w:p>
      <w:r>
        <w:t xml:space="preserve">| Умеет вести диалог, соблюдая при этом правила очередности речи | Да | Нет |</w:t>
      </w:r>
    </w:p>
    <w:p>
      <w:r>
        <w:t xml:space="preserve">| Выражает свои мысли с помощью предложений, построенных грамматически правильно | Да | Нет |</w:t>
      </w:r>
    </w:p>
    <w:p>
      <w:r>
        <w:t xml:space="preserve">| Познание |  |  |</w:t>
      </w:r>
    </w:p>
    <w:p>
      <w:r>
        <w:t xml:space="preserve">| Считает десять показанных предметов (карандаши) | Да | Нет |</w:t>
      </w:r>
    </w:p>
    <w:p>
      <w:r>
        <w:t xml:space="preserve">| Может повторять три непоследовательные цифры по порядку (5, 2, 9) | Да | Нет |</w:t>
      </w:r>
    </w:p>
    <w:p>
      <w:r>
        <w:t xml:space="preserve">| Распознает все цифры от 0 до 9 | Да | Нет |</w:t>
      </w:r>
    </w:p>
    <w:p>
      <w:r>
        <w:t xml:space="preserve">| Удерживает внимание в течение десяти минут на интересующей его деятельности или задаче | Да | Нет |</w:t>
      </w:r>
    </w:p>
    <w:p>
      <w:r>
        <w:t xml:space="preserve">| Самостоятельно выполняет действия, включающие несколько задач от начала до конца (например, перед сном чистит зубы и надевает пижаму) | Да | Нет |</w:t>
      </w:r>
    </w:p>
    <w:p>
      <w:r>
        <w:t xml:space="preserve">| Социальная сфера |  |  |</w:t>
      </w:r>
    </w:p>
    <w:p>
      <w:r>
        <w:t xml:space="preserve">| Распознает эмоциональное состояние других и реагирует соответствующим образом (знает, как утешить друга) | Да | Нет |</w:t>
      </w:r>
    </w:p>
    <w:p>
      <w:r>
        <w:t xml:space="preserve">| Знает, как заводить и сохранять друзей | Да | Нет |</w:t>
      </w:r>
    </w:p>
    <w:p>
      <w:r>
        <w:t xml:space="preserve">| Проявляет разнообразные интересы относительно своего возраста (не имеет четко определенного ограниченного интереса, не привязан к какому-либо объекту, не всегда говорит об одном и том же). | Да | Нет |</w:t>
      </w:r>
    </w:p>
    <w:p>
      <w:pPr>
        <w:pStyle w:val="Heading2"/>
      </w:pPr>
      <w:r>
        <w:t xml:space="preserve">Текст</w:t>
      </w:r>
    </w:p>
    <w:p>
      <w:r>
        <w:t xml:space="preserve">*если три "нет" в двух разных областях, требуется консультация МДГ.</w:t>
      </w:r>
    </w:p>
    <w:p>
      <w:r>
        <w:t xml:space="preserve">|  | Приложение 2 к Перечню некоторых приказов Министра здравоохранения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12 к Стандарту организации оказания неонатальной помощи в Республике Казахстан |</w:t>
      </w:r>
    </w:p>
    <w:p>
      <w:pPr>
        <w:pStyle w:val="Heading2"/>
      </w:pPr>
      <w:r>
        <w:t xml:space="preserve">Глава Критерии распределения новорожденных по группам риска</w:t>
      </w:r>
    </w:p>
    <w:p>
      <w:pPr>
        <w:pStyle w:val="Heading2"/>
      </w:pPr>
      <w:r>
        <w:t xml:space="preserve">Текст</w:t>
      </w:r>
    </w:p>
    <w:p>
      <w:r>
        <w:t xml:space="preserve">Высокий риск: недоношенные дети с массой тела при рождении менее 1 000 грамм и/или со сроком гестации менее 28 недель; дети с выявленными поражениями какой-либо системы организма, в том числе врожденные пороки развития; врожденные пороки сердца; перинатальная асфиксия – оценка по шкале Апгар 3 балла или менее через 5 минут и/или гипоксически-ишемическая энцефалопатия; преходящая тяжелая миастения новорожденного; врожденный гипер/гипотонус; другие нарушения мышечного тонуса новорожденного; нарушение мышечного тонуса новорожденного неуточненное; хирургические заболевания; новорожденные маленькие к сроку гестации (&lt;3-го центиля) и новорожденные большие к сроку гестации (&gt;97-го центиля); постоянная длительная гипогликемия и гипокальциемия; судороги; неонатальный сепсис; дети, перенесшие нейроинфекцию; дети, перенесшие шок, с проведением инотропной/вазопрессорной поддержки; новорожденные, рожденные от матерей, имеющих социально-значимые заболевания; билирубиновая энцефалопатия новорожденных; внутрижелудочковое кровоизлияние 2-3 степени; бронхолегочная дисплазия, возникшая в перинатальном периоде; анемия недоношенных; ретинопатия недоношенных; фоновые состояния: дети, которым проводилась сурфактантзаместительная терапия, искусственной вентиляции легких более 24 часов, гемотрансфузия; новорожденные, рожденные от родителей из ключевых групп населения; новорожденные, рожденные от матерей, имеющих положительный анализ на инфекции, передающиеся половым путем; послеродовая депрессия матери.</w:t>
      </w:r>
    </w:p>
    <w:p>
      <w:pPr>
        <w:pStyle w:val="Heading2"/>
      </w:pPr>
      <w:r>
        <w:t xml:space="preserve">Текст</w:t>
      </w:r>
    </w:p>
    <w:p>
      <w:r>
        <w:t xml:space="preserve">Умеренный риск: недоношенные дети с массой тела при рождении 1000 – 1500 грамм или со сроком гестации менее 33 недель; многоплодная беременность; гипогликемия (уровень сахара в крови &lt;25миллиграмм/децилитров); гипербилирубинемия &gt;205 мкмоль/л; новорожденные, перенесшие родовую травму.</w:t>
      </w:r>
    </w:p>
    <w:p>
      <w:pPr>
        <w:pStyle w:val="Heading2"/>
      </w:pPr>
      <w:r>
        <w:t xml:space="preserve">Текст</w:t>
      </w:r>
    </w:p>
    <w:p>
      <w:r>
        <w:t xml:space="preserve">Низкий риск: недоношенные дети с массой тела при рождении 1 500 – 2 500 грамм; гипогликемия I степени; транзиторная гипогликемия; новорожденные с риском развития гнойно-септических заболеваний; неонатальная желтуха, без проведения фототерапии; внутрижелудочковое кровоизлияние 1 степени; дети с избыточной массой тела.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