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энергетики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28.03.2025. № 208573. редакция от 28.03.2025</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и дополнения.</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r>
        <w:t xml:space="preserve">|  | Утвержден приказом Министр энергетики Республики Казахстан от 28 марта 2025 года № 141-н/қ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 и дополнения</w:t>
      </w:r>
    </w:p>
    <w:p>
      <w:pPr>
        <w:pStyle w:val="Heading2"/>
      </w:pPr>
      <w:r>
        <w:t xml:space="preserve">Пункт 1</w:t>
      </w:r>
    </w:p>
    <w:p>
      <w:r>
        <w:t xml:space="preserve">1. Внести в приказ Министра энергетики Республики Казахстан от 20 февраля 2015 года № 106 "Об утверждении Правил организации и функционирования оптового рынка электрической энергии" (зарегистрированного в Реестре государственной регистрации нормативных правовых актов под № 10531) следующие изменения:</w:t>
      </w:r>
    </w:p>
    <w:p>
      <w:r>
        <w:t xml:space="preserve">вносится изменения в заголовок на казахском языке, заголовок в русском языке не меняется;</w:t>
      </w:r>
    </w:p>
    <w:p>
      <w:r>
        <w:t xml:space="preserve">в Правилах организации и функционирования оптового рынка электрической энергии, утвержденных указанным приказом:</w:t>
      </w:r>
    </w:p>
    <w:p>
      <w:r>
        <w:t xml:space="preserve">пункт 3 изложить в новой редакции:</w:t>
      </w:r>
    </w:p>
    <w:p>
      <w:r>
        <w:t xml:space="preserve">"3. Оптовый рынок электрической энергии представляет собой систему отношений, связанных с куплей-продажей плановых объемов электрической энергии, которая функционирует на основе договоров купли-продажи электрической энергии между субъектами оптового рынка электрической энергии.</w:t>
      </w:r>
    </w:p>
    <w:p>
      <w:r>
        <w:t xml:space="preserve">Субъекты розничного рынка электрической энергии не осуществляют куплю-продажу электрической энергии на оптовом рынке электрической энергии.</w:t>
      </w:r>
    </w:p>
    <w:p>
      <w:r>
        <w:t xml:space="preserve">Победитель аукционных торгов по отбору проекта по строительству нового объекта по использованию возобновляемых источников энергии, система накопления электрической энергии которого работает под управлением системы автоматического регулирования частоты и перетоков мощности (далее – АРЧМ), не использует данную систему накопления электрической энергии в купле-продаже плановых объемов электрической энергии, включенных в суточный график производства-потребления электрической энергии, утвержденный системным оператором, на оптовом рынке электрической энергии.".</w:t>
      </w:r>
    </w:p>
    <w:p>
      <w:pPr>
        <w:pStyle w:val="Heading2"/>
      </w:pPr>
      <w:r>
        <w:t xml:space="preserve">Пункт 2</w:t>
      </w:r>
    </w:p>
    <w:p>
      <w:r>
        <w:t xml:space="preserve">2. Внести в приказ Министра энергетики Республики Казахстан от 20 февраля 2015 года № 112 "Об утверждении Правил функционирования балансирующего рынка электрической энергии" (зарегистрированного в Реестре государственной регистрации нормативных правовых актов под № 10532) следующие изменения и дополнения:</w:t>
      </w:r>
    </w:p>
    <w:p>
      <w:r>
        <w:t xml:space="preserve">в Правилах функционирования балансирующего рынка электрической энергии, утвержденных указанным приказом:</w:t>
      </w:r>
    </w:p>
    <w:p>
      <w:r>
        <w:t xml:space="preserve">дополнить пунктом 70-1 следующего содержания:</w:t>
      </w:r>
    </w:p>
    <w:p>
      <w:r>
        <w:t xml:space="preserve">"70-1. Реализация (продажа) балансирующей электрической энергии единому закупщику электрической энергии победителями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и покупка ими у единого закупщика электрической энергии отрицательных дисбалансов на балансирующем рынке электрической энергии по договору передачи ответственности с применением понижающих и повышающих коэффициентов равных 1 осуществляется при подключении систем накопления электрической энергии к АРЧМ.</w:t>
      </w:r>
    </w:p>
    <w:p>
      <w:r>
        <w:t xml:space="preserve">Системы накопления электрической энергии, указанные в части первой настоящего пункта, подключаются к АРЧМ в диапазоне регулирования сто процентов от установленной электрической мощности данных систем накопления электрической энергии.</w:t>
      </w:r>
    </w:p>
    <w:p>
      <w:r>
        <w:t xml:space="preserve">Победитель аукционных торгов по отбору проекта по строительству нового объекта по использованию возобновляемых источников энергии, система накопления электрической энергии которого работает под управлением системы АРЧМ, не заключает договор на оказание услуг по регулированию электрической мощности.";</w:t>
      </w:r>
    </w:p>
    <w:p>
      <w:r>
        <w:t xml:space="preserve">пункт 79 дополнить подпунктом 10-1) следующего содержания:</w:t>
      </w:r>
    </w:p>
    <w:p>
      <w:r>
        <w:t xml:space="preserve">"10-1) информацию об отклонениях систем накопления электрической энергии победителей аукционных торгов по отбору проектов по строительству новых объектов по использованию возобновляемых источников энергии, вызванных воздействием системы АРЧМ;";</w:t>
      </w:r>
    </w:p>
    <w:p>
      <w:r>
        <w:t xml:space="preserve">дополнить пунктом 87-1 следующего содержания:</w:t>
      </w:r>
    </w:p>
    <w:p>
      <w:r>
        <w:t xml:space="preserve">"87-1. Победитель аукционных торгов по отбору проекта по строительству нового объекта по использованию возобновляемых источников энергии, система накопления электрической энергии которого работает под управлением системы АРЧМ, покрывает положительный дисбаланс системы накопления электрической энергии за расчетный период (календарный месяц), вызванный воздействием системы АРЧМ, посредством покупки балансирующей электрической энергии у РЦ БРЭ по следующей формуле:</w:t>
      </w:r>
    </w:p>
    <w:p>
      <w:r>
        <w:t xml:space="preserve">Победитель аукционных торгов по отбору проекта по строительству нового объекта по использованию возобновляемых источников энергии, система накопления электрической энергии которого работает под управлением системы АРЧМ, покрывает отрицательный дисбаланс системы накопления электрической энергии, вызванный воздействием системы АРЧМ, за расчетный период (календарный месяц), посредством продажи отрицательных дисбалансов РЦ БРЭ по следующей формуле:</w:t>
      </w:r>
    </w:p>
    <w:p>
      <w:r>
        <w:t xml:space="preserve">пункт 116 изложить в новой редакции:</w:t>
      </w:r>
    </w:p>
    <w:p>
      <w:r>
        <w:t xml:space="preserve">"116. Субъекты балансирующего рынка электрической энергии отражаются в системе балансирующего рынка в разбивке по их объектам генерации-потребления, а также с учетом их распределенности по энергоузлам.</w:t>
      </w:r>
    </w:p>
    <w:p>
      <w:r>
        <w:t xml:space="preserve">Победители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отражаются в системе балансирующего рынка в разбивке по объектам по использованию возобновляемых источников энергии и системам накопления электрической энергии, с учетом их распределенности по энергоузлам.";</w:t>
      </w:r>
    </w:p>
    <w:p>
      <w:r>
        <w:t xml:space="preserve">пункт 132 изложить в новой редакции:</w:t>
      </w:r>
    </w:p>
    <w:p>
      <w:r>
        <w:t xml:space="preserve">"132. В рамках договора передачи ответственности, энергопроизводящие организации, использующие возобновляемые источники энергии:</w:t>
      </w:r>
    </w:p>
    <w:p>
      <w:pPr>
        <w:pStyle w:val="Heading2"/>
      </w:pPr>
      <w:r>
        <w:t xml:space="preserve">Подпункт 1</w:t>
      </w:r>
    </w:p>
    <w:p>
      <w:r>
        <w:t xml:space="preserve">1) покрывают все свои положительные дисбалансы посредством покупки у единого закупщика электрической энергии балансирующей электроэнергии в соответствующих объемах по цене на продажу электроэнергии, указанной в действующем договоре купли-продажи электрической энергии с единым закупщиком электрической энергии и расчетно-финансовым центром либо с субъектом оптового рынка электрической энергии, умноженной на повышающий коэффициент, рассчитываемый в порядке, определенном уполномоченным органом согласно пункту 5 статьи 15-10 Закона;</w:t>
      </w:r>
    </w:p>
    <w:p>
      <w:pPr>
        <w:pStyle w:val="Heading2"/>
      </w:pPr>
      <w:r>
        <w:t xml:space="preserve">Подпункт 2</w:t>
      </w:r>
    </w:p>
    <w:p>
      <w:r>
        <w:t xml:space="preserve">2) продают все свои отрицательные дисбалансы единому закупщику электрической энергии по цене на продажу электроэнергии, указанной в действующем договоре купли-продажи электрической энергии с единым закупщиком электрической энергии и расчетно-финансовым центром либо с субъектом оптового рынка электрической энергии, умноженной на понижающий коэффициент, рассчитываемый в порядке, определенном уполномоченным органом согласно пункту 5 статьи 15-10 Закона.</w:t>
      </w:r>
    </w:p>
    <w:p>
      <w:r>
        <w:t xml:space="preserve">Значение повышающего коэффициента, указанного в настоящем пункте, приравнивается к единице для часа операционных суток, в котором значение положительного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Значение понижающего коэффициента, указанного в настоящем пункте, приравнивается к единице для часа операционных суток, в котором модуль значения отрицательного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расчетно-финансовым центром, значение коэффициентов, указанных в частях второй и третьей настоящего пункта, приравнивается к 1 на весь период действия данных договоров.</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единым закупщиком электрической энергии после 1 июля 2023 года значения, повышающего и понижающего коэффициентов определяются в следующем порядке:</w:t>
      </w:r>
    </w:p>
    <w:p>
      <w:r>
        <w:t xml:space="preserve">значение повышающего коэффициента, указанного в указанных в частях второй и третьей настоящего пункта, приравнивается к 1,3 для часа операционных суток, в котором значение положительного дисбаланса превышает допустимый диапазон отклонения;</w:t>
      </w:r>
    </w:p>
    <w:p>
      <w:r>
        <w:t xml:space="preserve">значение понижающего коэффициента, указанного в частях второй и третьей настоящего пункта, приравнивается к 0,7 для часа операционных суток, в котором модуль значения отрицательного дисбаланса превышает допустимый диапазон отклонения.</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единым закупщиком электрической энергии после 1 июля 2023 года, значения допустимых отклонений равны диапазону ±5%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дополнить пунктом 132-1 следующего содержания:</w:t>
      </w:r>
    </w:p>
    <w:p>
      <w:r>
        <w:t xml:space="preserve">"132-1. Победитель аукционных торгов по отбору проекта по строительству нового объекта по использованию возобновляемых источников энергии, система накопления электрической энергии которого работает под управлением системы АРЧМ, в рамках договора передачи ответственности покрывает дисбалансы объекта по использованию возобновляемых источников энергии в пределах диапазона ±30 % от его заявленного планового часового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 посредством покупки балансирующей электрической энергии у единого закупщика электрической энергии или продажи отрицательных дисбалансов единому закупщику электрической энергии по цене на продажу электроэнергии, указанной в действующем договоре купли-продажи электрической энергии между единым закупщиком электрической энергии и победителем аукционных торгов по отбору проекта по строительству нового объекта по использованию возобновляемых источников энергии, умноженной на повышающий или понижающий коэффициент равный 1.</w:t>
      </w:r>
    </w:p>
    <w:p>
      <w:r>
        <w:t xml:space="preserve">При превышении модуль значения положительного дисбаланса объекта по использованию возобновляемых источников энергии, система накопления электрической энергии которого работает под управлением системы АРЧМ,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 победитель аукционных торгов по отбору проекта по строительству нового объекта по использованию возобновляемых источников энергии урегулирует превышение положительного дисбаланса по цене на продажу электроэнергии, указанной в действующем договоре купли-продажи электрической энергии между единым закупщиком электрической энергии и победителем аукционных торгов по отбору проекта по строительству нового объекта по использованию возобновляемых источников энергии, умноженной на повышающий коэффициент 1,3.</w:t>
      </w:r>
    </w:p>
    <w:p>
      <w:r>
        <w:t xml:space="preserve">При превышении модуль значения отрицательного дисбаланса объекта по использованию возобновляемых источников энергии, система накопления электрической энергии которого работает под управлением системы АРЧМ,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 победитель аукционных торгов по отбору проекта по строительству нового объекта по использованию возобновляемых источников энергии урегулирует превышение отрицательного дисбаланса по цене на продажу электроэнергии, указанной в действующем договоре купли-продажи электрической энергии между единым закупщиком электрической энергии и победителем аукционных торгов по отбору проекта по строительству нового объекта по использованию возобновляемых источников энергии, умноженной на понижающий коэффициент 0,7.</w:t>
      </w:r>
    </w:p>
    <w:p>
      <w:r>
        <w:t xml:space="preserve">При этом не допускается одновременное применение диапазона допустимых отклонений, указанных в пунктах 132 и 132-1 настоящих Правил, в отношении одного и того же объекта по использованию возобновляемых источников энергии.";</w:t>
      </w:r>
    </w:p>
    <w:p>
      <w:r>
        <w:t xml:space="preserve">пункт 2 приложения 8 изложить в новой редакции:</w:t>
      </w:r>
    </w:p>
    <w:p>
      <w:r>
        <w:t xml:space="preserve">"2. Затраты (доходы) РЦ БРЭ от продажи балансирующей электроэнергии и покупки отрицательных дисбалансов у субъектов, работающих под управлением системы АРЧМ, в зоне балансирования за час суток (), в тенге (округляется до сотых), определяются по формуле:</w:t>
      </w:r>
    </w:p>
    <w:p>
      <w:r>
        <w:t xml:space="preserve">j – порядковый номер, изменяющийся от 1 до y;</w:t>
      </w:r>
    </w:p>
    <w:p>
      <w:r>
        <w:t xml:space="preserve">y – количество субъектов, работающих под управлением системы АРЧМ, совершивших положительный дисбаланс по причине воздействия системы АРЧМ в зоне балансирования за данный час;</w:t>
      </w:r>
    </w:p>
    <w:p>
      <w:r>
        <w:t xml:space="preserve">i - порядковый номер, изменяющийся от 1 до h;</w:t>
      </w:r>
    </w:p>
    <w:p>
      <w:r>
        <w:t xml:space="preserve">h – количество субъектов, работающих под управлением системы АРЧМ, совершивших отрицательный дисбаланс по причине воздействия системы АРЧМ в зоне балансирования за данный час.".</w:t>
      </w:r>
    </w:p>
    <w:p>
      <w:pPr>
        <w:pStyle w:val="Heading2"/>
      </w:pPr>
      <w:r>
        <w:t xml:space="preserve">Пункт 3</w:t>
      </w:r>
    </w:p>
    <w:p>
      <w:r>
        <w:t xml:space="preserve">3. Внести в приказ Министра энергетики Республики Казахстан от 2 марта 2015 года № 164 "Об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(зарегистрированного в Реестре государственной регистрации нормативных правовых актов под № 10662) следующие изменения и дополнения:</w:t>
      </w:r>
    </w:p>
    <w:p>
      <w:r>
        <w:t xml:space="preserve">в Правилах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утвержденных указанным приказом:</w:t>
      </w:r>
    </w:p>
    <w:p>
      <w:r>
        <w:t xml:space="preserve">дополнить пунктом 6-1 следующего содержания:</w:t>
      </w:r>
    </w:p>
    <w:p>
      <w:r>
        <w:t xml:space="preserve">"6-1. Победители аукционных торгов по проектам строительства объектов по использованию ВИЭ объемом установленной мощности свыше 499 МВт продают электрическую энергию единому закупщику электрической энергии, при условии ввода в эксплуатацию систем накопления электрической энергии в объеме не менее 30% от установленной мощности соответствующего объекта по использованию ВИЭ, а также при условии работы систем накопления электрической энергии под управлением системы автоматического регулирования частоты и перетоков мощности (далее – АРЧМ).</w:t>
      </w:r>
    </w:p>
    <w:p>
      <w:r>
        <w:t xml:space="preserve">При поэтапном вводе объекта по использованию ВИЭ, победитель аукционных торгов обеспечивает пропорциональный ввод в эксплуатацию систем хранения электрической энергии в объеме не менее 30 % от установленной мощности объема поэтапного ввода объекта по использованию ВИЭ.".</w:t>
      </w:r>
    </w:p>
    <w:p>
      <w:r>
        <w:t xml:space="preserve">дополнить пунктами 18-1 и 18-2 следующего содержания:</w:t>
      </w:r>
    </w:p>
    <w:p>
      <w:r>
        <w:t xml:space="preserve">"18-1. Победители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поддерживают мощность, емкость и другие параметры систем накопления электрической энергии на заданных параметрах, в том числе с учетом компенсации деградации электрохимических систем накопления электрической энергии, в течение всего жизненного цикла проекта и срока действия соответствующего договора покупки, заключенного между единым закупщиком электрической энергии и соответствующим победителем аукционных торгов по отбору проекта по строительству нового объекта по использованию возобновляемых источников энергии, оснащенного системой накопления электрической энергии.</w:t>
      </w:r>
    </w:p>
    <w:p>
      <w:r>
        <w:t xml:space="preserve">Подтверждение поддержания мощности, емкости и других параметров системы накопления электрической энергии победителем аукционных торгов по отбору проекта по строительству нового объекта по использованию возобновляемых источников энергии на заданных параметрах осуществляется путем прохождения ежемесячной аттестации, проводимой системным оператором в автоматическом режиме посредством системы АРЧМ, в соответствии с Правилами проведения аттестации электрической мощности генерирующих установок, утвержденных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под № 12489).</w:t>
      </w:r>
    </w:p>
    <w:p>
      <w:r>
        <w:t xml:space="preserve">При отсутствии подтверждения требуемых параметров системы накопления электрической энергии, осуществляется изменение значений, предусмотренных пунктом 132-1 Правил функционирования балансирующего рынка электрической энергии, утвержденных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под № 10532):</w:t>
      </w:r>
    </w:p>
    <w:p>
      <w:r>
        <w:t xml:space="preserve">увеличение понижающих и повышающих коэффициентов;</w:t>
      </w:r>
    </w:p>
    <w:p>
      <w:r>
        <w:t xml:space="preserve">снижение предельного диапазона, в рамках которого значение понижающего и повышающего коэффициентов равно 1.</w:t>
      </w:r>
    </w:p>
    <w:p>
      <w:pPr>
        <w:pStyle w:val="Heading2"/>
      </w:pPr>
      <w:r>
        <w:t xml:space="preserve">Пункт 18-2</w:t>
      </w:r>
    </w:p>
    <w:p>
      <w:r>
        <w:t xml:space="preserve">18-2. Победители аукционных торгов по отбору проектов по строительству новых объектов по использованию возобновляемых источников энергии, оснащенных электрохимическими системами накопления электрической энергии, обеспечивают техническую возможность систем накопления электрической энергии по количеству полных циклов заряда (разряда) в календарный год, регламентированную пунктом 957-8 Правил технической эксплуатации электрических станций и сетей, утвержденных приказом Министра энергетики Республики Казахстан от 30 марта 2015 года № 247 (зарегистрирован в Реестре государственной регистрации нормативных правовых актов под № 11066), в том числе с учетом компенсации деградации электрохимических систем накопления электрической энергии, в течение всего жизненного цикла проекта и срока действия соответствующего договора купли-продажи электрической энергии, заключенного с единым закупщиком электрической энергии.</w:t>
      </w:r>
    </w:p>
    <w:p>
      <w:r>
        <w:t xml:space="preserve">При этом количество полных циклов заряда (разряда) в календарный год, не превышает 440 (четыреста сорок) раз, количество полных циклов в сутки не превышает 2 (два).";</w:t>
      </w:r>
    </w:p>
    <w:p>
      <w:r>
        <w:t xml:space="preserve">дополнить пунктом 25-1 следующего содержания:</w:t>
      </w:r>
    </w:p>
    <w:p>
      <w:r>
        <w:t xml:space="preserve">"25-1. Единый закупщик электрической энергии уведомляет победителя аукционных торгов о необходимости подачи Заявки за 5 (пять) рабочих дней до окончания срока, установленного пунктом 19 настоящих Правил.";</w:t>
      </w:r>
    </w:p>
    <w:p>
      <w:r>
        <w:t xml:space="preserve">в пункте 82 :</w:t>
      </w:r>
    </w:p>
    <w:p>
      <w:r>
        <w:t xml:space="preserve">подпункты 3) и 4) изложить в новой редакции:</w:t>
      </w:r>
    </w:p>
    <w:p>
      <w:r>
        <w:t xml:space="preserve">"3) копию акта разграничения балансовой принадлежности и эксплуатационной ответственности сторон,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разграничения балансовой принадлежности и эксплуатационной ответственности сторон и до начала комплексных испытаний объекта по использованию ВИЭ.</w:t>
      </w:r>
    </w:p>
    <w:p>
      <w:r>
        <w:t xml:space="preserve">Победители аукционных торгов по проектам строительства объектов по использованию ВИЭ объемом установленной мощности свыше 499 МВт, предоставляют копии актов разграничения балансовой принадлежности и эксплуатационной ответственности сторон, подписанные между энергопередающими организациями и победителями аукционных торгов по проектам строительства объектов по использованию ВИЭ для систем накопления электрической энергии;</w:t>
      </w:r>
    </w:p>
    <w:p>
      <w:pPr>
        <w:pStyle w:val="Heading2"/>
      </w:pPr>
      <w:r>
        <w:t xml:space="preserve">Подпункт 4</w:t>
      </w:r>
    </w:p>
    <w:p>
      <w:r>
        <w:t xml:space="preserve">4)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использованию ВИЭ,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приемки схемы коммерческого учета электрической энергии и до начала комплексных испытаний объекта по использованию ВИЭ.</w:t>
      </w:r>
    </w:p>
    <w:p>
      <w:r>
        <w:t xml:space="preserve">Победители аукционных торгов по проектам строительства объектов по использованию ВИЭ объемом установленной мощности свыше 499 МВт, предоставляют копии актов приемки схем коммерческого учета электрической энергии, включающие схемы размещения приборов коммерческого и технического учетов для систем накопления электрической энергии;";</w:t>
      </w:r>
    </w:p>
    <w:p>
      <w:r>
        <w:t xml:space="preserve">подпункт 6) изложить в новой редакции:</w:t>
      </w:r>
    </w:p>
    <w:p>
      <w:r>
        <w:t xml:space="preserve">"6) копию акта о вводе в эксплуатацию автоматизированной системы коммерческого учета электрической энергии объекта по использованию ВИЭ в течение 5 (пять) рабочих дней с даты проведения комплексного испытания.</w:t>
      </w:r>
    </w:p>
    <w:p>
      <w:r>
        <w:t xml:space="preserve">Победители аукционных торгов по проектам строительства объектов по использованию ВИЭ объемом установленной мощности свыше 499 МВт, предоставляют копии актов о вводе в эксплуатацию автоматизированных систем коммерческого учета электрической энергии систем накопления электрической энергии;".</w:t>
      </w:r>
    </w:p>
    <w:p>
      <w:pPr>
        <w:pStyle w:val="Heading2"/>
      </w:pPr>
      <w:r>
        <w:t xml:space="preserve">Пункт 4</w:t>
      </w:r>
    </w:p>
    <w:p>
      <w:r>
        <w:t xml:space="preserve">4. Внести в приказ Министра энергетики Республики Казахстан от 3 декабря 2015 года № 686 "Об утверждении Правил проведения аттестации электрической мощности генерирующих установок" (зарегистрированного в Реестре государственной регистрации нормативных правовых актов под № 12489) следующее дополнение:</w:t>
      </w:r>
    </w:p>
    <w:p>
      <w:r>
        <w:t xml:space="preserve">в Правилах проведения аттестации электрической мощности генерирующих установок, утвержденных указанным приказом:</w:t>
      </w:r>
    </w:p>
    <w:p>
      <w:r>
        <w:t xml:space="preserve">дополнить главой 3 следующего содержания:</w:t>
      </w:r>
    </w:p>
    <w:p>
      <w:r>
        <w:t xml:space="preserve">"Глава 3. Порядок проведения аттестации электрической мощности и емкости систем накопления электрической энергии</w:t>
      </w:r>
    </w:p>
    <w:p>
      <w:pPr>
        <w:pStyle w:val="Heading2"/>
      </w:pPr>
      <w:r>
        <w:t xml:space="preserve">Пункт 17</w:t>
      </w:r>
    </w:p>
    <w:p>
      <w:r>
        <w:t xml:space="preserve">17. Аттестация электрической мощности и емкости систем накопления электрической энергии победителей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проводится Системным оператором ежемесячно, один раз в месяц.</w:t>
      </w:r>
    </w:p>
    <w:p>
      <w:pPr>
        <w:pStyle w:val="Heading2"/>
      </w:pPr>
      <w:r>
        <w:t xml:space="preserve">Пункт 18</w:t>
      </w:r>
    </w:p>
    <w:p>
      <w:r>
        <w:t xml:space="preserve">18. Аттестация электрической мощности и емкости систем накопления электрической энергии победителей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проводится в автоматическом режиме посредством системы автоматического регулирования частоты и перетоков мощности (далее – АРЧМ).</w:t>
      </w:r>
    </w:p>
    <w:p>
      <w:pPr>
        <w:pStyle w:val="Heading2"/>
      </w:pPr>
      <w:r>
        <w:t xml:space="preserve">Пункт 19</w:t>
      </w:r>
    </w:p>
    <w:p>
      <w:r>
        <w:t xml:space="preserve">19. Аттестация электрической мощности и емкости систем накопления электрической энергии победителей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проводится в 3 этапа:</w:t>
      </w:r>
    </w:p>
    <w:p>
      <w:pPr>
        <w:pStyle w:val="Heading2"/>
      </w:pPr>
      <w:r>
        <w:t xml:space="preserve">Подпункт 1</w:t>
      </w:r>
    </w:p>
    <w:p>
      <w:r>
        <w:t xml:space="preserve">1) на первом этапе АРЧМ обеспечивает полный разряд системы накопления электрической энергии;</w:t>
      </w:r>
    </w:p>
    <w:p>
      <w:pPr>
        <w:pStyle w:val="Heading2"/>
      </w:pPr>
      <w:r>
        <w:t xml:space="preserve">Подпункт 2</w:t>
      </w:r>
    </w:p>
    <w:p>
      <w:r>
        <w:t xml:space="preserve">2) на втором этапе АРЧМ обеспечивает полный заряд системы накопления электрической энергии;</w:t>
      </w:r>
    </w:p>
    <w:p>
      <w:pPr>
        <w:pStyle w:val="Heading2"/>
      </w:pPr>
      <w:r>
        <w:t xml:space="preserve">Подпункт 3</w:t>
      </w:r>
    </w:p>
    <w:p>
      <w:r>
        <w:t xml:space="preserve">3) на третьем этапе АРЧМ обеспечивает полный разряд системы накопления электрической энергии.".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