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Министра сельского хозяйства Республики Казахстан от 19 марта 2020 года № 100 "Об утверждении Перечня вредных организмов, борьба с которыми осуществляется за счет бюджетных средств, и Правил проведения фитосанитарных мероприятий"</w:t>
      </w:r>
    </w:p>
    <w:p>
      <w:r>
        <w:t xml:space="preserve">Приказ, Изменения, Дополнения. Министерство сельского хозяйства Республики Казахстан. от 12.03.2025. № 207967. редакция от 12.03.2025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сельского хозяйства Республики Казахстан от 19 марта 2020 года № 100 "Об утверждении Перечня вредных организмов, борьба с которыми осуществляется за счет бюджетных средств, и Правил проведения фитосанитарных мероприятий" (зарегистрирован в Реестре государственной регистрации нормативных правовых актов № 20213) следующие изменения и дополнения:</w:t>
      </w:r>
    </w:p>
    <w:p>
      <w:r>
        <w:t xml:space="preserve">в Правилах проведения фитосанитарных мероприятий, утвержденных указанным приказом:</w:t>
      </w:r>
    </w:p>
    <w:p>
      <w:r>
        <w:t xml:space="preserve">дополнить пунктом 11-1 следующего содержания:</w:t>
      </w:r>
    </w:p>
    <w:p>
      <w:r>
        <w:t xml:space="preserve">"11-1. Транспортировка, хранение, применение и обезвреживание пестицидов осуществляются в соответствии с приказом Министра сельского хозяйства Республики Казахстан от 27 июня 2023 года № 249 "Об утверждении технического регламента о безопасности средств защиты растений (пестицидов)" (зарегистрирован в Реестре государственной регистрации нормативных правовых актов № 32940).";</w:t>
      </w:r>
    </w:p>
    <w:p>
      <w:r>
        <w:t xml:space="preserve">пункт 15 изложить в следующей редакции:</w:t>
      </w:r>
    </w:p>
    <w:p>
      <w:r>
        <w:t xml:space="preserve">"15. Закуп пестицидов, услуг по их хранению, транспортировке, химической обработке мест заселения нестадными саранчовыми с численностью выше ЭПВ осуществляется местными исполнительными органами в соответствии с Законом Республики Казахстан "О государственных закупках" (далее – Закон о государственных закупках) и Правилами осуществления государственных закупок, утвержденными приказом Министра финансов Республики Казахстан от 9 октября 2024 года № 687 (зарегистрирован в Реестре государственной регистрации нормативных правовых актов № 35238) (далее – Правила государственных закупок).</w:t>
      </w:r>
    </w:p>
    <w:p>
      <w:r>
        <w:t xml:space="preserve">Пестициды, услуги по их хранению, транспортировке, химической обработке мест заселения нестадными саранчовыми с численностью выше ЭПВ приобретаются одним лотом.";</w:t>
      </w:r>
    </w:p>
    <w:p>
      <w:r>
        <w:t xml:space="preserve">пункт 16 исключить;</w:t>
      </w:r>
    </w:p>
    <w:p>
      <w:r>
        <w:t xml:space="preserve">пункты 17 , 18 и 19 изложить в следующей редакции:</w:t>
      </w:r>
    </w:p>
    <w:p>
      <w:r>
        <w:t xml:space="preserve">"17. Площади распространения нестадных саранчовых с численностью выше ЭПВ, подлежащие обработке, определяются Методическим центром по согласованию с областными (городов республиканского значения, столицы) территориальными подразделениями ведомства уполномоченного органа и в течение 24 (двадцати четырех) часов после согласования предоставляются в местные исполнительные органы и поставщикам с указанием координат.</w:t>
      </w:r>
    </w:p>
    <w:p>
      <w:pPr>
        <w:pStyle w:val="Heading2"/>
      </w:pPr>
      <w:r>
        <w:t xml:space="preserve">Пункт 18</w:t>
      </w:r>
    </w:p>
    <w:p>
      <w:r>
        <w:t xml:space="preserve">18. Химическая обработка мест заселения нестадными саранчовыми осуществляется поставщиками услуг в соответствии с требованиями регламента применения пестицидов путем опрыскивания мест заселения авиационным и (или) наземными способами, специальной опрыскивающей техникой, оснащенной измерительными приборами (термометром, анемометром), GPS-трекером и оборудованием, обеспечивающим постоянное перемешивание рабочего раствора.</w:t>
      </w:r>
    </w:p>
    <w:p>
      <w:pPr>
        <w:pStyle w:val="Heading2"/>
      </w:pPr>
      <w:r>
        <w:t xml:space="preserve">Пункт 19</w:t>
      </w:r>
    </w:p>
    <w:p>
      <w:r>
        <w:t xml:space="preserve">19. Расчет потребности в специальной технике для проведения химических обработок мест заселения нестадными саранчовыми с численностью выше ЭПВ осуществляется с учетом погодно-климатических, географических условий и рельефа местности в течение 23 (двадцати трех) календарных дней, с нормой выработки:</w:t>
      </w:r>
    </w:p>
    <w:p>
      <w:r>
        <w:t xml:space="preserve">по судам сверхлегкой авиации – 800 гектаров за сутки;</w:t>
      </w:r>
    </w:p>
    <w:p>
      <w:r>
        <w:t xml:space="preserve">по судам легкой авиации – 800 гектаров за сутки;</w:t>
      </w:r>
    </w:p>
    <w:p>
      <w:r>
        <w:t xml:space="preserve">по беспилотным авиационным системам – 50 гектаров за сутки;</w:t>
      </w:r>
    </w:p>
    <w:p>
      <w:r>
        <w:t xml:space="preserve">по аэрозольным генераторам с силовой установкой более 180 лошадиных сил – 750 гектаров за сутки;</w:t>
      </w:r>
    </w:p>
    <w:p>
      <w:r>
        <w:t xml:space="preserve">по аэрозольным генераторам с силовой установкой до 180 лошадиных сил – 300 гектаров за сутки;</w:t>
      </w:r>
    </w:p>
    <w:p>
      <w:r>
        <w:t xml:space="preserve">по наземным вентиляторным и штанговым опрыскивателям – 100 гектаров за сутки;</w:t>
      </w:r>
    </w:p>
    <w:p>
      <w:r>
        <w:t xml:space="preserve">по наземным атомайзерным, ультрамалообъемным опрыскивателям всех модификаций – 150 гектаров за сутки;</w:t>
      </w:r>
    </w:p>
    <w:p>
      <w:r>
        <w:t xml:space="preserve">по ранцевым опрыскивателям – 5 гектаров за сутки.";</w:t>
      </w:r>
    </w:p>
    <w:p>
      <w:r>
        <w:t xml:space="preserve">пункт 23 изложить в следующей редакции:</w:t>
      </w:r>
    </w:p>
    <w:p>
      <w:r>
        <w:t xml:space="preserve">"23. Фитосанитарные мероприятия по борьбе со стадными саранчовыми (азиатская, мароккская и итальянский прус) включают в себя:</w:t>
      </w:r>
    </w:p>
    <w:p>
      <w:pPr>
        <w:pStyle w:val="Heading2"/>
      </w:pPr>
      <w:r>
        <w:t xml:space="preserve">Подпункт 1</w:t>
      </w:r>
    </w:p>
    <w:p>
      <w:r>
        <w:t xml:space="preserve">1) закуп пестицидов для проведения химических обработок против стадных саранчовых (азиатская, мароккская и итальянский прус) с численностью выше ЭПВ, а также формирование, хранение и обновление запаса пестицидов;</w:t>
      </w:r>
    </w:p>
    <w:p>
      <w:pPr>
        <w:pStyle w:val="Heading2"/>
      </w:pPr>
      <w:r>
        <w:t xml:space="preserve">Подпункт 2</w:t>
      </w:r>
    </w:p>
    <w:p>
      <w:r>
        <w:t xml:space="preserve">2) закуп услуг по хранению и транспортировке пестицидов против стадных саранчовых (азиатская, мароккская и итальянский прус) с численностью выше ЭПВ;</w:t>
      </w:r>
    </w:p>
    <w:p>
      <w:pPr>
        <w:pStyle w:val="Heading2"/>
      </w:pPr>
      <w:r>
        <w:t xml:space="preserve">Подпункт 3</w:t>
      </w:r>
    </w:p>
    <w:p>
      <w:r>
        <w:t xml:space="preserve">3) закуп услуг по проведению химической обработки мест заселения стадными саранчовыми (азиатская, мароккская и итальянский прус) с численностью выше ЭПВ.</w:t>
      </w:r>
    </w:p>
    <w:p>
      <w:r>
        <w:t xml:space="preserve">Пестициды, услуги по их хранению, транспортировке, химической обработке мест заселения стадными саранчовыми (азиатская, мароккская и итальянский прус) с численностью выше ЭПВ приобретаются одним лотом.";</w:t>
      </w:r>
    </w:p>
    <w:p>
      <w:r>
        <w:t xml:space="preserve">пункт 26 изложить в следующей редакции:</w:t>
      </w:r>
    </w:p>
    <w:p>
      <w:r>
        <w:t xml:space="preserve">"26. Расчет потребности в специальной технике для проведения химических обработок мест заселения стадными саранчовыми (азиатская, мароккская и итальянский прус) с численностью выше ЭПВ осуществляется с учетом погодно-климатических, географических условий и рельефа местности в течение 23 (двадцати трех) календарных дней, с нормой выработки на 1 единицу техники:</w:t>
      </w:r>
    </w:p>
    <w:p>
      <w:r>
        <w:t xml:space="preserve">по судам сверхлегкой авиации – 800 гектаров за сутки;</w:t>
      </w:r>
    </w:p>
    <w:p>
      <w:r>
        <w:t xml:space="preserve">по судам легкой авиации – 800 гектаров за сутки;</w:t>
      </w:r>
    </w:p>
    <w:p>
      <w:r>
        <w:t xml:space="preserve">по беспилотным авиационным системам – 50 гектаров за сутки;</w:t>
      </w:r>
    </w:p>
    <w:p>
      <w:r>
        <w:t xml:space="preserve">по аэрозольным генераторам с силовой установкой более 180 лошадиных сил – 750 гектаров за сутки;</w:t>
      </w:r>
    </w:p>
    <w:p>
      <w:r>
        <w:t xml:space="preserve">по аэрозольным генераторам с силовой установкой до 180 лошадиных сил – 300 гектаров за сутки;</w:t>
      </w:r>
    </w:p>
    <w:p>
      <w:r>
        <w:t xml:space="preserve">по наземным вентиляторным и штанговым опрыскивателям – 100 гектаров за сутки;</w:t>
      </w:r>
    </w:p>
    <w:p>
      <w:r>
        <w:t xml:space="preserve">по наземным атомайзерным, ультрамалообъемным опрыскивателям всех модификаций – 150 гектаров за сутки;</w:t>
      </w:r>
    </w:p>
    <w:p>
      <w:r>
        <w:t xml:space="preserve">по ранцевым опрыскивателям – 5 гектаров за сутки.";</w:t>
      </w:r>
    </w:p>
    <w:p>
      <w:r>
        <w:t xml:space="preserve">пункт 27 исключить;</w:t>
      </w:r>
    </w:p>
    <w:p>
      <w:r>
        <w:t xml:space="preserve">дополнить пунктом 27-1 следующего содержания:</w:t>
      </w:r>
    </w:p>
    <w:p>
      <w:r>
        <w:t xml:space="preserve">"27-1. Площади распространения стадных саранчовых (азиатская, мароккская и итальянский прус) с численностью выше ЭПВ, подлежащие обработке, определяются Методическим центром и в течение 24 (двадцати четырех) часов с момента выявления площади распространения предоставляются областным (городов республиканского значения, столицы) территориальным подразделениям ведомства уполномоченного органа и поставщикам с указанием координат.";</w:t>
      </w:r>
    </w:p>
    <w:p>
      <w:r>
        <w:t xml:space="preserve">пункт 28 изложить в следующей редакции:</w:t>
      </w:r>
    </w:p>
    <w:p>
      <w:r>
        <w:t xml:space="preserve">"28. Химическая обработка мест заселения стадными саранчовыми (азиатская, мароккская и итальянский прус) осуществляется поставщиками услуг в соответствии с фитосанитарными нормативами и требованиями регламента применения пестицидов путем опрыскивания мест заселения авиационным и (или) наземными способами, специальной опрыскивающей техникой, оснащенной измерительными приборами (термометром, анемометром), GPS-трекером и оборудованием, обеспечивающим постоянное перемешивание рабочего раствора.".</w:t>
      </w:r>
    </w:p>
    <w:p>
      <w:pPr>
        <w:pStyle w:val="Heading2"/>
      </w:pPr>
      <w:r>
        <w:t xml:space="preserve">Пункт 2</w:t>
      </w:r>
    </w:p>
    <w:p>
      <w:r>
        <w:t xml:space="preserve">2. Комитету государственной инспекции в агропромышленном комплексе Министерства сельского хозяйства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сельского хозяйства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сельского хозяйства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сельского хозяйства Республики Казахстан | А. Султанов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