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03.03.2025. № 207583. редакция от 03.03.2025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01.03.2025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 (зарегистрирован в Реестре государственной регистрации нормативных правовых актов за № 16240) следующие изменения:</w:t>
      </w:r>
    </w:p>
    <w:p>
      <w:r>
        <w:t xml:space="preserve">в Правилах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победителей, утвержденных указанным приказом:</w:t>
      </w:r>
    </w:p>
    <w:p>
      <w:r>
        <w:t xml:space="preserve">пункт 3 изложить в новой редакции:</w:t>
      </w:r>
    </w:p>
    <w:p>
      <w:r>
        <w:t xml:space="preserve">"3. Уполномоченный орган не менее чем за 1 (один) месяц до предполагаемой даты проведения аукционных торгов разрабатывает и публикует на своем интернет-ресурсе график проведения аукционных торгов на календарный год по форме, согласно приложению 1 к настоящим Правилам (далее – График). Информация, указанная в Графике, не подлежит корректировке.";</w:t>
      </w:r>
    </w:p>
    <w:p>
      <w:r>
        <w:t xml:space="preserve">пункт 8-1 изложить в новой редакции:</w:t>
      </w:r>
    </w:p>
    <w:p>
      <w:r>
        <w:t xml:space="preserve">"8-1. Аукционные торги по отбору проектов по строительству солнечных и ветровых электростанций, проводятся согласно информации о возможности подключения к точкам электрических сетей и зарезервированных земельных участках для планируемых к строительству объектов, указанных в Графике.</w:t>
      </w:r>
    </w:p>
    <w:p>
      <w:r>
        <w:t xml:space="preserve">При этом, для участия в аукционных торгах, указанной в части 1 настоящего пункта, предоставлении документов, предусмотренных подпунктами 7) - 9) пункта 19 настоящих Правил, не осуществляется.";</w:t>
      </w:r>
    </w:p>
    <w:p>
      <w:r>
        <w:t xml:space="preserve">пункт 10 изложить в новой редакции:</w:t>
      </w:r>
    </w:p>
    <w:p>
      <w:r>
        <w:t xml:space="preserve">"10. Для регистрации в базе данных торговой системы заявитель на официальном интернет-ресурсе Организатора предоставляет в электронном виде документы:</w:t>
      </w:r>
    </w:p>
    <w:p>
      <w:r>
        <w:t xml:space="preserve">по проектам строительства объектов по использованию ВИЭ объемом установленной мощности до 499 МВт включительно в соответствии с подпунктами 1), 2), 3), 4), 5), 7), 8), 9) и 10) пункта 19 настоящих Правил;</w:t>
      </w:r>
    </w:p>
    <w:p>
      <w:r>
        <w:t xml:space="preserve">по проектам строительства объектов по использованию ВИЭ объемом установленной мощности свыше 499 МВт в соответствии с подпунктами 1), 2), 3), 4), 5), 7) и 8) пункта 19-1 настоящих Правил.";</w:t>
      </w:r>
    </w:p>
    <w:p>
      <w:r>
        <w:t xml:space="preserve">подпункт 8) пункта 19 изложить в новой редакции:</w:t>
      </w:r>
    </w:p>
    <w:p>
      <w:r>
        <w:t xml:space="preserve">"8) копии правоустанавливающих документов на земельный участок в соответствии с Земельным кодексом Республики Казахстан либо указание земельного участка в соответствии с Графиком.</w:t>
      </w:r>
    </w:p>
    <w:p>
      <w:r>
        <w:t xml:space="preserve">При этом по проектам строительства объектов, использующих гидродинамическую энергию воды, отходы потребления, биомассу, биогаз и иное топливо из отходов потребления для производства электрической энергии, предоставляются копии правоустанавливающих документов на земельный участок с соответствующим целевым назначением на котором планируется строительство объекта;";</w:t>
      </w:r>
    </w:p>
    <w:p>
      <w:r>
        <w:t xml:space="preserve">подпункты 7) и 8) пункта 19-1 изложить в новой редакции:</w:t>
      </w:r>
    </w:p>
    <w:p>
      <w:r>
        <w:t xml:space="preserve">"7) документы, подтверждающие наличие опыта по инвестированию, строительству и вводу в эксплуатацию объектов по использованию ВИЭ соответствующего вида установленной мощностью в совокупности не менее 100 МВт в Республике Казахстан в соответствии с пунктом 19-2 настоящих Правил;</w:t>
      </w:r>
    </w:p>
    <w:p>
      <w:pPr>
        <w:pStyle w:val="Heading2"/>
      </w:pPr>
      <w:r>
        <w:t xml:space="preserve">Подпункт 8</w:t>
      </w:r>
    </w:p>
    <w:p>
      <w:r>
        <w:t xml:space="preserve">8) структура собственников до конечных бенефициаров по состоянию на дату не ранее начала периода приема документов с подтверждающими документами, где акции (доля участия в уставном капитале) конечных собственников – граждан Республики Казахстан и/или юридических лиц Республики Казахстан без иностранного участия составляют (составляет) не менее 51 % (пятидесяти одного процента) и обеспечивают (обеспечивает) возможность определять решения Участника аукционных торгов.";</w:t>
      </w:r>
    </w:p>
    <w:p>
      <w:r>
        <w:t xml:space="preserve">пункт 19-2 изложить в новой редакции:</w:t>
      </w:r>
    </w:p>
    <w:p>
      <w:r>
        <w:t xml:space="preserve">"19-2. Под опытом по инвестированию, строительству и вводу в эксплуатацию объектов по использованию ВИЭ соответствующего вида в Республике Казахстан понимается владение прямо или косвенно на дату ввода в эксплуатацию объекта по использованию ВИЭ соответствующего аукционным торгам вида не менее 20 % акций (долей участия в уставном капитале) зарегистрированного в Республике Казахстан юридического лица, являвшегося собственником указанного объекта по использованию ВИЭ.</w:t>
      </w:r>
    </w:p>
    <w:p>
      <w:r>
        <w:t xml:space="preserve">Участник аукционных торгов по проектам строительства объектов по использованию ВИЭ объемом установленной мощности свыше 499 МВт подтверждает наличие опыта, предусмотренного подпунктом 7) пункта 19-1 настоящих Правил у него либо у физических и (или) юридических лиц, прямо или косвенно владеющих не менее 51 % акций (долей участия в уставном капитале) Участника аукционных торгов в совокупности, путем предоставления подтверждающих указанные факты копий зарегистрированных в уполномоченных государственных органах актов ввода в эксплуатацию объектов по использованию ВИЭ, сведений о зарегистрированных юридических лицах на дату регистрации указанных актов и копий регистрационных или учредительных документов на дату регистрации указанных актов.";</w:t>
      </w:r>
    </w:p>
    <w:p>
      <w:r>
        <w:t xml:space="preserve">пункт 61 изложить в новой редакции:</w:t>
      </w:r>
    </w:p>
    <w:p>
      <w:r>
        <w:t xml:space="preserve">"61. Проведение аукционных торгов может быть приостановлено в течение торговой сессии на период до 30 минут, в случае наступления следующих обстоятельств у Организатора торгов:</w:t>
      </w:r>
    </w:p>
    <w:p>
      <w:pPr>
        <w:pStyle w:val="Heading2"/>
      </w:pPr>
      <w:r>
        <w:t xml:space="preserve">Подпункт 1</w:t>
      </w:r>
    </w:p>
    <w:p>
      <w:r>
        <w:t xml:space="preserve">1) технические неполадки и (или) сбои в торговой системе, приведшие к полной или частичной неработоспособности торговой системы;</w:t>
      </w:r>
    </w:p>
    <w:p>
      <w:pPr>
        <w:pStyle w:val="Heading2"/>
      </w:pPr>
      <w:r>
        <w:t xml:space="preserve">Подпункт 2</w:t>
      </w:r>
    </w:p>
    <w:p>
      <w:r>
        <w:t xml:space="preserve">2) технические неполадки каналов связи сети Интернет.</w:t>
      </w:r>
    </w:p>
    <w:p>
      <w:pPr>
        <w:pStyle w:val="Heading2"/>
      </w:pPr>
      <w:r>
        <w:t xml:space="preserve">Подпункт 3</w:t>
      </w:r>
    </w:p>
    <w:p>
      <w:r>
        <w:t xml:space="preserve">3) перерыв в электроснабжении торгового зала и (или) серверного оборудования торговой системы (на период до 30 минут).";</w:t>
      </w:r>
    </w:p>
    <w:p>
      <w:r>
        <w:t xml:space="preserve">пункт 62 изложить в новой редакции:</w:t>
      </w:r>
    </w:p>
    <w:p>
      <w:r>
        <w:t xml:space="preserve">"62. При приостановлении проведения аукционных торгов Организатор оперативно информирует участников через указанную в торговой системе электронную почту Участника о причине приостановления торгов с указанием времени, в течение которого процесс проведения аукционных торгов будет восстановлен.";</w:t>
      </w:r>
    </w:p>
    <w:p>
      <w:r>
        <w:t xml:space="preserve">пункт 63 изложить в новой редакции:</w:t>
      </w:r>
    </w:p>
    <w:p>
      <w:r>
        <w:t xml:space="preserve">"63. Проведение аукционных торгов может быть отменено актом Организатора торгов, в случае наступления следующих обстоятельств:</w:t>
      </w:r>
    </w:p>
    <w:p>
      <w:pPr>
        <w:pStyle w:val="Heading2"/>
      </w:pPr>
      <w:r>
        <w:t xml:space="preserve">Подпункт 1</w:t>
      </w:r>
    </w:p>
    <w:p>
      <w:r>
        <w:t xml:space="preserve">1) на устранение технических неполадок, указанных в пункте 61 настоящих Правил, требуется более 30 минут;</w:t>
      </w:r>
    </w:p>
    <w:p>
      <w:pPr>
        <w:pStyle w:val="Heading2"/>
      </w:pPr>
      <w:r>
        <w:t xml:space="preserve">Подпункт 2</w:t>
      </w:r>
    </w:p>
    <w:p>
      <w:r>
        <w:t xml:space="preserve">2) длительный (на период более 30 минут) перерыв в электроснабжении торгового зала и (или) серверного оборудования торговой системы.</w:t>
      </w:r>
    </w:p>
    <w:p>
      <w:pPr>
        <w:pStyle w:val="Heading2"/>
      </w:pPr>
      <w:r>
        <w:t xml:space="preserve">Подпункт 3</w:t>
      </w:r>
    </w:p>
    <w:p>
      <w:r>
        <w:t xml:space="preserve">3) наступление обстоятельств, препятствующих проведению аукционных торгов, не зависящих от действий и (или) бездействий Организатора торгов.".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1 марта 2025 года и подлежит официальному опубликованию.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