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размера и порядка оказания жилищной помощи в Кармакшинском районе</w:t>
      </w:r>
    </w:p>
    <w:p>
      <w:r>
        <w:t xml:space="preserve">Решение. Маслихат Кармакшинского района. от 12.12.2024. № 204487. редакция от 12.12.2024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97 Закона Республики Казахстан "О жилищных отношениях" и приказом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(зарегистрировано в Реестре государственной регистрации нормативных правовых актов за № 33763) Кармакшинский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размер и порядок оказания жилищной помощи в Кармакшинском районе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следующие решения Кармакшинского районного маслихата:</w:t>
      </w:r>
    </w:p>
    <w:p>
      <w:pPr>
        <w:pStyle w:val="Heading2"/>
      </w:pPr>
      <w:r>
        <w:t xml:space="preserve">Подпункт 1</w:t>
      </w:r>
    </w:p>
    <w:p>
      <w:r>
        <w:t xml:space="preserve">1) решение Кармакшинского районного маслихата от 30 апреля 2020 года № 323 "Об определении размера и порядка оказания жилищной помощи" (зарегистрировано в Реестре государственной регистрации нормативных правовых актов за № 7409);</w:t>
      </w:r>
    </w:p>
    <w:p>
      <w:pPr>
        <w:pStyle w:val="Heading2"/>
      </w:pPr>
      <w:r>
        <w:t xml:space="preserve">Подпункт 2</w:t>
      </w:r>
    </w:p>
    <w:p>
      <w:r>
        <w:t xml:space="preserve">2) решение Кармакшинского районного маслихата от 28 декабря 2020 года № 421 "О внесении изменений в решение Кармакшинского районного маслихата от 30 апреля 2020 года № 323 "Об определении размера и порядка оказания жилищной помощи"" (зарегистрировано в Реестре государственной регистрации нормативных правовых актов за № 8098).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Кармакшинского районного маслихата | Ә. Қошалақов |</w:t>
      </w:r>
    </w:p>
    <w:p>
      <w:r>
        <w:t xml:space="preserve">|---|---|</w:t>
      </w:r>
    </w:p>
    <w:p>
      <w:r>
        <w:t xml:space="preserve">|  | Приложение к решению Кармакшинского районного маслихата от 12 декабря 2024 года № 224 |</w:t>
      </w:r>
    </w:p>
    <w:p>
      <w:r>
        <w:t xml:space="preserve">|---|---|</w:t>
      </w:r>
    </w:p>
    <w:p>
      <w:pPr>
        <w:pStyle w:val="Heading2"/>
      </w:pPr>
      <w:r>
        <w:t xml:space="preserve">Глава Размер и порядок оказания жилищной помощи в Кармакшинском районе</w:t>
      </w:r>
    </w:p>
    <w:p>
      <w:pPr>
        <w:pStyle w:val="Heading2"/>
      </w:pPr>
      <w:r>
        <w:t xml:space="preserve">Пункт 1</w:t>
      </w:r>
    </w:p>
    <w:p>
      <w:r>
        <w:t xml:space="preserve">1. Жилищная помощь предоставляется за счет средств местного бюджета малообеспеченным семьям (гражданам) (далее - получатель), постоянно зарегистрированным и проживающим в жилище в Кармакшинском районе,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p>
      <w:r>
        <w:t xml:space="preserve">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p>
      <w:r>
        <w:t xml:space="preserve">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r>
        <w:t xml:space="preserve">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p>
      <w:r>
        <w:t xml:space="preserve">Расходы 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pPr>
        <w:pStyle w:val="Heading2"/>
      </w:pPr>
      <w:r>
        <w:t xml:space="preserve">Пункт 2</w:t>
      </w:r>
    </w:p>
    <w:p>
      <w:r>
        <w:t xml:space="preserve">2. Совокупный доход получателя, претендующего на получение жилищной помощи, исчисляется коммунальным государственным учреждением "Кармакшинский районный отдел занятости и социальных программ" (далее – уполномоченный орган), в порядке, определяемом приказом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(зарегистрировано в Реестре государственной регистрации нормативных правовых актов за № 33763).</w:t>
      </w:r>
    </w:p>
    <w:p>
      <w:pPr>
        <w:pStyle w:val="Heading2"/>
      </w:pPr>
      <w:r>
        <w:t xml:space="preserve">Пункт 3</w:t>
      </w:r>
    </w:p>
    <w:p>
      <w:r>
        <w:t xml:space="preserve">3. Уровень предельно допустимых расходов к совокупному доходу получателя устанавливается в размере 10 (десяти) процентов.</w:t>
      </w:r>
    </w:p>
    <w:p>
      <w:pPr>
        <w:pStyle w:val="Heading2"/>
      </w:pPr>
      <w:r>
        <w:t xml:space="preserve">Пункт 4</w:t>
      </w:r>
    </w:p>
    <w:p>
      <w:r>
        <w:t xml:space="preserve">4. Расходы на проведение капитального ремонта общего имущества объекта кондоминиума для получателей жилищной помощи определяются путем соотношения площади индивидуальной собственности получателя к общей площади объекта кондоминиума.</w:t>
      </w:r>
    </w:p>
    <w:p>
      <w:pPr>
        <w:pStyle w:val="Heading2"/>
      </w:pPr>
      <w:r>
        <w:t xml:space="preserve">Пункт 5</w:t>
      </w:r>
    </w:p>
    <w:p>
      <w:r>
        <w:t xml:space="preserve">5. Выплата компенсации повышения тарифов абонентской платы за оказание услуг телекоммуникаций социально защищаемым гражданам осуществляется в соответствии с приказом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(зарегистрировано в Реестре государственной регистрации нормативных правовых актов за № 33200).</w:t>
      </w:r>
    </w:p>
    <w:p>
      <w:r>
        <w:t xml:space="preserve">Жилищная помощь исчисляется по следующим нормам:</w:t>
      </w:r>
    </w:p>
    <w:p>
      <w:pPr>
        <w:pStyle w:val="Heading2"/>
      </w:pPr>
      <w:r>
        <w:t xml:space="preserve">Подпункт 1</w:t>
      </w:r>
    </w:p>
    <w:p>
      <w:r>
        <w:t xml:space="preserve">1) нормы потребления электроэнергии на 1 месяц:</w:t>
      </w:r>
    </w:p>
    <w:p>
      <w:r>
        <w:t xml:space="preserve">на 1 человека - 70 киловатт;</w:t>
      </w:r>
    </w:p>
    <w:p>
      <w:r>
        <w:t xml:space="preserve">на 2 человека - 140 киловатт;</w:t>
      </w:r>
    </w:p>
    <w:p>
      <w:r>
        <w:t xml:space="preserve">на 3 и более человека - 210 киловатт;</w:t>
      </w:r>
    </w:p>
    <w:p>
      <w:pPr>
        <w:pStyle w:val="Heading2"/>
      </w:pPr>
      <w:r>
        <w:t xml:space="preserve">Подпункт 2</w:t>
      </w:r>
    </w:p>
    <w:p>
      <w:r>
        <w:t xml:space="preserve">2) нормы потребления газа на 1 месяц:</w:t>
      </w:r>
    </w:p>
    <w:p>
      <w:r>
        <w:t xml:space="preserve">до 4-х человек - 10 килограмм;</w:t>
      </w:r>
    </w:p>
    <w:p>
      <w:r>
        <w:t xml:space="preserve">на 4 и более человека - 20 килограмм;</w:t>
      </w:r>
    </w:p>
    <w:p>
      <w:r>
        <w:t xml:space="preserve">природный газ:</w:t>
      </w:r>
    </w:p>
    <w:p>
      <w:r>
        <w:t xml:space="preserve">до 4-х человек - 10 кубических метров;</w:t>
      </w:r>
    </w:p>
    <w:p>
      <w:r>
        <w:t xml:space="preserve">на 4 и более человек - 20 кубических метров;</w:t>
      </w:r>
    </w:p>
    <w:p>
      <w:pPr>
        <w:pStyle w:val="Heading2"/>
      </w:pPr>
      <w:r>
        <w:t xml:space="preserve">Подпункт 3</w:t>
      </w:r>
    </w:p>
    <w:p>
      <w:r>
        <w:t xml:space="preserve">3) потребления топлива (уголь) на отопительный сезон:</w:t>
      </w:r>
    </w:p>
    <w:p>
      <w:r>
        <w:t xml:space="preserve">на семью (гражданину) в месяц – 1 тонна;</w:t>
      </w:r>
    </w:p>
    <w:p>
      <w:r>
        <w:t xml:space="preserve">природный газ в отопительный сезон (на каждый месяц) - 500 кубических метров;</w:t>
      </w:r>
    </w:p>
    <w:p>
      <w:pPr>
        <w:pStyle w:val="Heading2"/>
      </w:pPr>
      <w:r>
        <w:t xml:space="preserve">Подпункт 4</w:t>
      </w:r>
    </w:p>
    <w:p>
      <w:r>
        <w:t xml:space="preserve">4) содержание жилья ежемесячно:</w:t>
      </w:r>
    </w:p>
    <w:p>
      <w:r>
        <w:t xml:space="preserve">на 1 человека - 18 квадратных метров;</w:t>
      </w:r>
    </w:p>
    <w:p>
      <w:r>
        <w:t xml:space="preserve">для одиноких пенсионеров и одиноких лиц с инвалидностью всех групп - 30 квадратных метр;</w:t>
      </w:r>
    </w:p>
    <w:p>
      <w:pPr>
        <w:pStyle w:val="Heading2"/>
      </w:pPr>
      <w:r>
        <w:t xml:space="preserve">Подпункт 5</w:t>
      </w:r>
    </w:p>
    <w:p>
      <w:r>
        <w:t xml:space="preserve">5) теплоснабжение ежемесячно:</w:t>
      </w:r>
    </w:p>
    <w:p>
      <w:r>
        <w:t xml:space="preserve">на 1 человека - 18 квадратных метров;</w:t>
      </w:r>
    </w:p>
    <w:p>
      <w:r>
        <w:t xml:space="preserve">для одиноких пенсионеров и одиноких лиц с инвалидностью всех групп - 30 квадратных метр;</w:t>
      </w:r>
    </w:p>
    <w:p>
      <w:r>
        <w:t xml:space="preserve">При расчете социальной нормы потребителям, имеющим приборы учета коммунальных услуг, применяются фактические затраты по показаниям счетчиков, но не выше установленных тарифов и нормативов.</w:t>
      </w:r>
    </w:p>
    <w:p>
      <w:r>
        <w:t xml:space="preserve">Нормы платы потребления и тарифы коммунальных услуг предоставляют поставщики услуг.</w:t>
      </w:r>
    </w:p>
    <w:p>
      <w:pPr>
        <w:pStyle w:val="Heading2"/>
      </w:pPr>
      <w:r>
        <w:t xml:space="preserve">Пункт 6</w:t>
      </w:r>
    </w:p>
    <w:p>
      <w:r>
        <w:t xml:space="preserve">6. Получатели жилищной помощи в течение 10 (десяти) рабочих дней информируют уполномоченный орган о любых изменениях формы собственности своего жилья, состава семьи, ее совокупного дохода, несут ответственность за достоверность представленных сведений в установленном законодательством порядке.</w:t>
      </w:r>
    </w:p>
    <w:p>
      <w:pPr>
        <w:pStyle w:val="Heading2"/>
      </w:pPr>
      <w:r>
        <w:t xml:space="preserve">Пункт 7</w:t>
      </w:r>
    </w:p>
    <w:p>
      <w:r>
        <w:t xml:space="preserve">7. При предоставлении неполных или недостоверных сведений, повлекших назначение жилищной помощи, выплата жилищной помощи прекращается, а излишние или необоснованно полученные суммы подлежат возврату получателем в добровольном порядке, а в случае отказа в установленном законодательством порядке.</w:t>
      </w:r>
    </w:p>
    <w:p>
      <w:pPr>
        <w:pStyle w:val="Heading2"/>
      </w:pPr>
      <w:r>
        <w:t xml:space="preserve">Пункт 8</w:t>
      </w:r>
    </w:p>
    <w:p>
      <w:r>
        <w:t xml:space="preserve">8. Уполномоченный орган в течение 10 (десяти) рабочих дней со дня установления факта излишне или необоснованно выплаченной жилищной помощи направляет получателю письменное уведомление о необходимости возврата излишне выплаченной или необоснованно выплаченной жилищной помощи.</w:t>
      </w:r>
    </w:p>
    <w:p>
      <w:pPr>
        <w:pStyle w:val="Heading2"/>
      </w:pPr>
      <w:r>
        <w:t xml:space="preserve">Пункт 9</w:t>
      </w:r>
    </w:p>
    <w:p>
      <w:r>
        <w:t xml:space="preserve">9. Финансирование расходов за оказание жилищной помощи осуществляется в пределах средств, предусмотренных бюджетом Кармакшинского района на текущий финансовый год.</w:t>
      </w:r>
    </w:p>
    <w:p>
      <w:pPr>
        <w:pStyle w:val="Heading2"/>
      </w:pPr>
      <w:r>
        <w:t xml:space="preserve">Пункт 10</w:t>
      </w:r>
    </w:p>
    <w:p>
      <w:r>
        <w:t xml:space="preserve">10. Выплата жилищной помощи осуществляется уполномоченным органом через банки второго уровня, а также через организации, осуществляющие отдельные виды банковской деятельности путем перечисления начисленных сумм на лицевые счета получателей в срок до 25 числа месяца, следующего за месяцем принятия решения.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