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</w:t>
      </w:r>
    </w:p>
    <w:p>
      <w:r>
        <w:t xml:space="preserve">Приказ, Изменения, Дополнения. Министерство энергетики Республики Казахстан (Образован Указом Президента РК от 06.08.2014 г. № 875). от 11.12.2024. № 204087. редакция от 11.12.2024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21 декабря 2017 года № 466 "Об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победителей" (зарегистрирован в Реестре государственной регистрации нормативных правовых актов за № 16240) следующие изменения и дополнения:</w:t>
      </w:r>
    </w:p>
    <w:p>
      <w:r>
        <w:t xml:space="preserve">пункт 19 изложить в новой редакции:</w:t>
      </w:r>
    </w:p>
    <w:p>
      <w:r>
        <w:t xml:space="preserve">"19. Соответствие квалификационным требованиям, предъявляемым к участникам аукционных торгов по проектам строительства объектов по использованию ВИЭ объемом установленной мощности до 499 МВт, включительно подтверждается путем предоставления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копии Устава;</w:t>
      </w:r>
    </w:p>
    <w:p>
      <w:pPr>
        <w:pStyle w:val="Heading2"/>
      </w:pPr>
      <w:r>
        <w:t xml:space="preserve">Подпункт 2</w:t>
      </w:r>
    </w:p>
    <w:p>
      <w:r>
        <w:t xml:space="preserve">2) копии справки о государственной регистрации/перерегистрации юридического лица;</w:t>
      </w:r>
    </w:p>
    <w:p>
      <w:pPr>
        <w:pStyle w:val="Heading2"/>
      </w:pPr>
      <w:r>
        <w:t xml:space="preserve">Подпункт 3</w:t>
      </w:r>
    </w:p>
    <w:p>
      <w:r>
        <w:t xml:space="preserve">3) копии решения соответствующего органа юридического лица о назначении первого руководителя;</w:t>
      </w:r>
    </w:p>
    <w:p>
      <w:pPr>
        <w:pStyle w:val="Heading2"/>
      </w:pPr>
      <w:r>
        <w:t xml:space="preserve">Подпункт 4</w:t>
      </w:r>
    </w:p>
    <w:p>
      <w:r>
        <w:t xml:space="preserve">4) доверенность на представителя (в случае, если представление интересов осуществляет не первый руководитель);</w:t>
      </w:r>
    </w:p>
    <w:p>
      <w:pPr>
        <w:pStyle w:val="Heading2"/>
      </w:pPr>
      <w:r>
        <w:t xml:space="preserve">Подпункт 5</w:t>
      </w:r>
    </w:p>
    <w:p>
      <w:r>
        <w:t xml:space="preserve">5) информация о реквизитах юридического лица (банковские реквизиты, адрес, контактные телефоны, электронный адрес);</w:t>
      </w:r>
    </w:p>
    <w:p>
      <w:pPr>
        <w:pStyle w:val="Heading2"/>
      </w:pPr>
      <w:r>
        <w:t xml:space="preserve">Подпункт 6</w:t>
      </w:r>
    </w:p>
    <w:p>
      <w:r>
        <w:t xml:space="preserve">6) финансовое обеспечение заявки на участие в аукционных торгах;</w:t>
      </w:r>
    </w:p>
    <w:p>
      <w:pPr>
        <w:pStyle w:val="Heading2"/>
      </w:pPr>
      <w:r>
        <w:t xml:space="preserve">Подпункт 7</w:t>
      </w:r>
    </w:p>
    <w:p>
      <w:r>
        <w:t xml:space="preserve">7) копия технических условий на подключение к электрической сети, выданных и согласованных в соответствии с Электросетевыми правилами либо указание точки подключения к электрическим сетям в соответствии с Графиком;</w:t>
      </w:r>
    </w:p>
    <w:p>
      <w:pPr>
        <w:pStyle w:val="Heading2"/>
      </w:pPr>
      <w:r>
        <w:t xml:space="preserve">Подпункт 8</w:t>
      </w:r>
    </w:p>
    <w:p>
      <w:r>
        <w:t xml:space="preserve">8) копии правоустанавливающих документов на земельный участок в соответствии с Земельным кодексом Республики Казахстан либо указание земельного участка в соответствии с Графиком;</w:t>
      </w:r>
    </w:p>
    <w:p>
      <w:pPr>
        <w:pStyle w:val="Heading2"/>
      </w:pPr>
      <w:r>
        <w:t xml:space="preserve">Подпункт 9</w:t>
      </w:r>
    </w:p>
    <w:p>
      <w:r>
        <w:t xml:space="preserve">9) копия письма согласования Системного оператора "Схемы выдачи мощности электростанции" с заявленной электрической мощностью 5 МВт и более разработанную в соответствии с Электросетевыми правилами либо указанием точки подключения к электрическим сетям в соответствии с графиком;</w:t>
      </w:r>
    </w:p>
    <w:p>
      <w:pPr>
        <w:pStyle w:val="Heading2"/>
      </w:pPr>
      <w:r>
        <w:t xml:space="preserve">Подпункт 10</w:t>
      </w:r>
    </w:p>
    <w:p>
      <w:r>
        <w:t xml:space="preserve">10) письма-подтверждения об ознакомлении Участника с документацией, размещенной на интернет-ресурсе Организатора, для участников, принимающих участие в аукционных торгах с документацией.";</w:t>
      </w:r>
    </w:p>
    <w:p>
      <w:r>
        <w:t xml:space="preserve">дополнить пунктами 19-1, 19-2 и 19-3 следующего содержания:</w:t>
      </w:r>
    </w:p>
    <w:p>
      <w:r>
        <w:t xml:space="preserve">"19-1. Соответствие квалификационным требованиям, предъявляемым к участникам аукционных торгов по проектам строительства объектов по использованию ВИЭ объемом установленной мощности свыше 499 МВт подтверждается путем предоставления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копия Устава;</w:t>
      </w:r>
    </w:p>
    <w:p>
      <w:pPr>
        <w:pStyle w:val="Heading2"/>
      </w:pPr>
      <w:r>
        <w:t xml:space="preserve">Подпункт 2</w:t>
      </w:r>
    </w:p>
    <w:p>
      <w:r>
        <w:t xml:space="preserve">2) копия справки о государственной регистрации/перерегистрации юридического лица;</w:t>
      </w:r>
    </w:p>
    <w:p>
      <w:pPr>
        <w:pStyle w:val="Heading2"/>
      </w:pPr>
      <w:r>
        <w:t xml:space="preserve">Подпункт 3</w:t>
      </w:r>
    </w:p>
    <w:p>
      <w:r>
        <w:t xml:space="preserve">3) копия решения соответствующего органа юридического лица о назначении первого руководителя;</w:t>
      </w:r>
    </w:p>
    <w:p>
      <w:pPr>
        <w:pStyle w:val="Heading2"/>
      </w:pPr>
      <w:r>
        <w:t xml:space="preserve">Подпункт 4</w:t>
      </w:r>
    </w:p>
    <w:p>
      <w:r>
        <w:t xml:space="preserve">4) доверенность на представителя (в случае, если представление интересов осуществляет не первый руководитель);</w:t>
      </w:r>
    </w:p>
    <w:p>
      <w:pPr>
        <w:pStyle w:val="Heading2"/>
      </w:pPr>
      <w:r>
        <w:t xml:space="preserve">Подпункт 5</w:t>
      </w:r>
    </w:p>
    <w:p>
      <w:r>
        <w:t xml:space="preserve">5) информация о реквизитах юридического лица (банковские реквизиты, адрес, контактные телефоны, электронный адрес);</w:t>
      </w:r>
    </w:p>
    <w:p>
      <w:pPr>
        <w:pStyle w:val="Heading2"/>
      </w:pPr>
      <w:r>
        <w:t xml:space="preserve">Подпункт 6</w:t>
      </w:r>
    </w:p>
    <w:p>
      <w:r>
        <w:t xml:space="preserve">6) финансовое обеспечение заявки на участие в аукционных торгах;</w:t>
      </w:r>
    </w:p>
    <w:p>
      <w:pPr>
        <w:pStyle w:val="Heading2"/>
      </w:pPr>
      <w:r>
        <w:t xml:space="preserve">Подпункт 7</w:t>
      </w:r>
    </w:p>
    <w:p>
      <w:r>
        <w:t xml:space="preserve">7) документы, подтверждающие наличие опыта по инвестированию, строительству и вводу в эксплуатацию объектов по использованию ВИЭ соответствующего вида совокупной установленной мощностью не менее 100 МВт в Республике Казахстан в соответствии с пунктом 19-2 настоящих Правил;</w:t>
      </w:r>
    </w:p>
    <w:p>
      <w:pPr>
        <w:pStyle w:val="Heading2"/>
      </w:pPr>
      <w:r>
        <w:t xml:space="preserve">Подпункт 8</w:t>
      </w:r>
    </w:p>
    <w:p>
      <w:r>
        <w:t xml:space="preserve">8) структура собственника до конечного бенефициара по состоянию на дату не ранее начала периода приема документов с подтверждающими документами, где акции (доля участия в уставном капитале) конечных собственников – граждан Республики Казахстан и/или юридических лиц Республики Казахстан без иностранного участия составляет не менее 51 % (пятидесяти одного процента).</w:t>
      </w:r>
    </w:p>
    <w:p>
      <w:pPr>
        <w:pStyle w:val="Heading2"/>
      </w:pPr>
      <w:r>
        <w:t xml:space="preserve">Пункт 19-2</w:t>
      </w:r>
    </w:p>
    <w:p>
      <w:r>
        <w:t xml:space="preserve">19-2. Под опытом по инвестированию, строительству и вводу в эксплуатацию объектов по использованию ВИЭ соответствующего вида в Республике Казахстан понимается владение на дату ввода в эксплуатацию объекта по использованию ВИЭ соответствующего аукционным торгам вида не менее 25 % акций (долей участия в уставном капитале) зарегистрированного в Республике Казахстан юридического лица, являвшегося (являющегося) собственником указанного объекта по использованию ВИЭ.</w:t>
      </w:r>
    </w:p>
    <w:p>
      <w:r>
        <w:t xml:space="preserve">Участник аукционных торгов по проектам строительства объектов по использованию ВИЭ объемом установленной мощности свыше 499 МВт подтверждает наличие опыта по инвестированию, строительству и вводу в эксплуатацию объектов по использованию ВИЭ соответствующего вида установленной мощностью не менее 100 МВт в совокупности у него и (или) у его акционеров (участников), включая конечных собственников, контролировавших (контролирующих) по всей структуре собственников не менее 51% акций (долей участия в уставном капитале) соответствующего юридического лица, путем предоставления подтверждающих указанные факты копий зарегистрированных в уполномоченных государственных органах актов ввода в эксплуатацию объектов по использованию ВИЭ, сведений о зарегистрированном юридическом лице на дату регистрации указанных актов, копий регистрационных (или) учредительных документов на дату регистрации указанных актов.</w:t>
      </w:r>
    </w:p>
    <w:p>
      <w:pPr>
        <w:pStyle w:val="Heading2"/>
      </w:pPr>
      <w:r>
        <w:t xml:space="preserve">Пункт 19-3</w:t>
      </w:r>
    </w:p>
    <w:p>
      <w:r>
        <w:t xml:space="preserve">19-3. Победитель аукционных торгов по проектам строительства объектов по использованию ВИЭ объемом установленной мощности свыше 499 МВт обеспечивает одновременно c объектом по использованию ВИЭ строительство и ввод в эксплуатацию системы хранения электрической энергии мощностью не менее 30% от установленной мощности объекта по использованию ВИЭ и емкостью, достаточной для выдачи мощности в течении двух часов с поддержанием на срок действия Договора покупки электроэнергии.</w:t>
      </w:r>
    </w:p>
    <w:p>
      <w:r>
        <w:t xml:space="preserve">Проект реализуется без переуступки прав и обязательств по договору покупки электрической энергии.";</w:t>
      </w:r>
    </w:p>
    <w:p>
      <w:r>
        <w:t xml:space="preserve">пункт 32 изложить в новой редакции:</w:t>
      </w:r>
    </w:p>
    <w:p>
      <w:r>
        <w:t xml:space="preserve">"32. Участники по своему усмотрению, до окончания времени приема заявок на участие в аукционных торгах изменяют ранее поданную заявку путем подачи новой заявки.</w:t>
      </w:r>
    </w:p>
    <w:p>
      <w:r>
        <w:t xml:space="preserve">При этом, участники указывают цену в новой заявке ниже, чем в предыдущей минимальной заявке, а объем ранее поданной заявки изменению не подлежит.</w:t>
      </w:r>
    </w:p>
    <w:p>
      <w:r>
        <w:t xml:space="preserve">В течение основного времени 30 (тридцать) минут торговой сессии, шаг изменения цены не менее 5 (пять) тиын за 1 (один) киловатт-час и не более 2 (два) тенге за 1 (один) киловатт-час от минимальной цены, с периода времени продления торговой сессии на 5 (пять) минут, шаг изменения цены составит не менее 50 (пятьдесят) тиын за 1 (один) киловатт-час, но не более 2 (два) тенге за 1 (один) киловатт-час в минуту от минимальной цены.";</w:t>
      </w:r>
    </w:p>
    <w:p>
      <w:r>
        <w:t xml:space="preserve">пункт 43 изложить в новой редакции:</w:t>
      </w:r>
    </w:p>
    <w:p>
      <w:r>
        <w:t xml:space="preserve">"43. Размер финансового обеспечения заявки на участие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в аукционных торгах без документации по проектам строительства объектов ВИЭ объемом установленной мощности до 499 МВт включительно - 2000 (две тысячи) тенге на 1 (один) киловатт установленной мощности, умноженный на установленную мощность объекта по использованию ВИЭ, указанную в заявке на участие в аукционных торгах;</w:t>
      </w:r>
    </w:p>
    <w:p>
      <w:pPr>
        <w:pStyle w:val="Heading2"/>
      </w:pPr>
      <w:r>
        <w:t xml:space="preserve">Подпункт 2</w:t>
      </w:r>
    </w:p>
    <w:p>
      <w:r>
        <w:t xml:space="preserve">2) в аукционных торгах с документацией – 5000 (пять тысяч) тенге на 1 (один) киловатт установленной мощности, умноженный на установленную мощность объекта по использованию ВИЭ, указанную в Графике;</w:t>
      </w:r>
    </w:p>
    <w:p>
      <w:pPr>
        <w:pStyle w:val="Heading2"/>
      </w:pPr>
      <w:r>
        <w:t xml:space="preserve">Подпункт 3</w:t>
      </w:r>
    </w:p>
    <w:p>
      <w:r>
        <w:t xml:space="preserve">3) в аукционных торгах без документации по проектам строительства объектов ВИЭ объемом установленной мощности свыше 499 МВт – 5000 (пять тысяч) тенге на 1 (один) киловатт установленной мощности, умноженный на установленную мощность объекта по использованию ВИЭ, указанную в заявке на участие в аукционных торгах.";</w:t>
      </w:r>
    </w:p>
    <w:p>
      <w:r>
        <w:t xml:space="preserve">дополнить пунктом 56-2 следующего содержания:</w:t>
      </w:r>
    </w:p>
    <w:p>
      <w:r>
        <w:t xml:space="preserve">"56-2. Победители аукционных торгов без документации по отбору проектов, использующих гидродинамическую энергию воды, биомассу, биогаз и иное топливо из органических отходов, используемые для производства электрической энергии, не допускаются на последующие аукционные торги указанные в графике проведения аукционных торгов на календарный год с повторно загруженными документами согласно подпунктам 7) и 8) пункта 19 Правил.".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Агентство по защите и развитию конкуренции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