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26.04.2024. № 196192. редакция от 26.04.2024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20 февраля 2015 года № 118 "Об утверждении Правил определения тарифа на поддержку возобновляемых источников энергии" (зарегистрирован в Реестре государственной регистрации нормативных правовых актов за № 10622) следующее изменение:</w:t>
      </w:r>
    </w:p>
    <w:p>
      <w:r>
        <w:t xml:space="preserve">в Правилах определения тарифа на поддержку возобновляемых источников энергии, утвержденных указанным приказом:</w:t>
      </w:r>
    </w:p>
    <w:p>
      <w:r>
        <w:t xml:space="preserve">пункт 11 изложить в новой редакции:</w:t>
      </w:r>
    </w:p>
    <w:p>
      <w:r>
        <w:t xml:space="preserve">"11. Фактическое значение тарифа на поддержку возобновляемых источников энергии за соответствующий час суток расчетного периода (календарного месяца) определяется по следующей формуле:</w:t>
      </w:r>
    </w:p>
    <w:p>
      <w:r>
        <w:t xml:space="preserve">r – количество условных потребителей, купивших электрическую энергию у единого закупщика электрической энергии за соответствующий час суток;</w:t>
      </w:r>
    </w:p>
    <w:p>
      <w:r>
        <w:t xml:space="preserve">r – общее количество субъектов оптового рынка электрической энергии, купивших электрическую энергию у единого закупщика электрической энергии за соответствующий час суток.</w:t>
      </w:r>
    </w:p>
    <w:p>
      <w:r>
        <w:t xml:space="preserve">Безразмерный коэффициент, представляющий из себя долю фактических затрат на поддержку использования возобновляемых источников энергии за соответствующий час суток, приходящуюся на субъектов оптового рынка электрической энергии (за исключением субъектов оптового рынка электрической энергии, осуществляющих деятельность по цифровому майнингу, субъектов оптового рынка электрической энергии, включенных в список адресной поддержки, а также субъектов оптового рынка электрической энергии, являющихся условными потребителями) (s), определяется по следующей формуле:</w:t>
      </w:r>
    </w:p>
    <w:p>
      <w:r>
        <w:t xml:space="preserve">k – количество условных потребителей за данный час суток;</w:t>
      </w:r>
    </w:p>
    <w:p>
      <w:r>
        <w:t xml:space="preserve">r – общее количество субъектов оптового рынка электрической энергии за данный час суток.".</w:t>
      </w:r>
    </w:p>
    <w:p>
      <w:pPr>
        <w:pStyle w:val="Heading2"/>
      </w:pPr>
      <w:r>
        <w:t xml:space="preserve">Пункт 2</w:t>
      </w:r>
    </w:p>
    <w:p>
      <w:r>
        <w:t xml:space="preserve">2. Внести в приказ Министра энергетики Республики Казахстан от 10 апреля 2020 года № 139 "Об утверждении Правил оказания государственной услуги "Выдача лицензии на работы и услуги в сфере углеводородов" (зарегистрирован в Реестре государственной регистрации нормативных правовых актов за № 20383) следующее изменение:</w:t>
      </w:r>
    </w:p>
    <w:p>
      <w:r>
        <w:t xml:space="preserve">в Правилах оказания государственной услуги "Выдача лицензии на работы и услуги в сфере углеводородов", утвержденных указанным приказом:</w:t>
      </w:r>
    </w:p>
    <w:p>
      <w:r>
        <w:t xml:space="preserve">подпункт 1) пункта 2 изложить в новой редакции:</w:t>
      </w:r>
    </w:p>
    <w:p>
      <w:r>
        <w:t xml:space="preserve">"1)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pStyle w:val="Heading2"/>
      </w:pPr>
      <w:r>
        <w:t xml:space="preserve">Пункт 3</w:t>
      </w:r>
    </w:p>
    <w:p>
      <w:r>
        <w:t xml:space="preserve">3.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