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11.10.2023. № 187106. редакция от 11.10.2023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 (зарегистрирован в Реестре государственной регистрации нормативных правовых актов за № 16240)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5-5) статьи 6 Закона Республики Казахстан "О поддержке использования возобновляемых источников энергии" ПРИКАЗЫВАЮ :";</w:t>
      </w:r>
    </w:p>
    <w:p>
      <w:r>
        <w:t xml:space="preserve">в Правилах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 (далее – Правила) разработаны в соответствии с подпунктом 5-5) статьи 6 Закона Республики Казахстан "О поддержке использования возобновляемых источников энергии" (далее – Закон) и определяют порядок организации и проведения аукционных торгов, включающий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победителей.";</w:t>
      </w:r>
    </w:p>
    <w:p>
      <w:r>
        <w:t xml:space="preserve">пункт 5 изложить в новой редакции:</w:t>
      </w:r>
    </w:p>
    <w:p>
      <w:r>
        <w:t xml:space="preserve">"5. Местные исполнительные органы областей, города республиканского значения и столицы осуществляют в соответствии с подпунктом 3-1) статьи 7 Закона резервирование земельных участков для планируемых к строительству объектов по использованию ВИЭ до момента предоставления победителям аукционных торгов прав на земельный участок, в соответствии с Земельным кодексом Республики Казахстан (далее – Земельный кодекс) и направляют соответствующую информацию уполномоченному органу по форме, согласно таблице 1 Графика.";</w:t>
      </w:r>
    </w:p>
    <w:p>
      <w:r>
        <w:t xml:space="preserve">пункт 17 изложить в новой редакции:</w:t>
      </w:r>
    </w:p>
    <w:p>
      <w:r>
        <w:t xml:space="preserve">"17. Договор содержит:</w:t>
      </w:r>
    </w:p>
    <w:p>
      <w:pPr>
        <w:pStyle w:val="Heading2"/>
      </w:pPr>
      <w:r>
        <w:t xml:space="preserve">Подпункт 1</w:t>
      </w:r>
    </w:p>
    <w:p>
      <w:r>
        <w:t xml:space="preserve">1) предмет Договора, виды оказываемых Организатором услуг, сроки и порядок оплаты;</w:t>
      </w:r>
    </w:p>
    <w:p>
      <w:pPr>
        <w:pStyle w:val="Heading2"/>
      </w:pPr>
      <w:r>
        <w:t xml:space="preserve">Подпункт 2</w:t>
      </w:r>
    </w:p>
    <w:p>
      <w:r>
        <w:t xml:space="preserve">2) критерии и требования, предъявляемые к заявителю для участия в аукционных торгах и допуску к аукционным торгам;</w:t>
      </w:r>
    </w:p>
    <w:p>
      <w:pPr>
        <w:pStyle w:val="Heading2"/>
      </w:pPr>
      <w:r>
        <w:t xml:space="preserve">Подпункт 3</w:t>
      </w:r>
    </w:p>
    <w:p>
      <w:r>
        <w:t xml:space="preserve">3) методы проведения аукционных торгов;</w:t>
      </w:r>
    </w:p>
    <w:p>
      <w:pPr>
        <w:pStyle w:val="Heading2"/>
      </w:pPr>
      <w:r>
        <w:t xml:space="preserve">Подпункт 4</w:t>
      </w:r>
    </w:p>
    <w:p>
      <w:r>
        <w:t xml:space="preserve">4) условие возврата заявителю оплаты за услуги Организатора;</w:t>
      </w:r>
    </w:p>
    <w:p>
      <w:pPr>
        <w:pStyle w:val="Heading2"/>
      </w:pPr>
      <w:r>
        <w:t xml:space="preserve">Подпункт 5</w:t>
      </w:r>
    </w:p>
    <w:p>
      <w:r>
        <w:t xml:space="preserve">5) ответственность участников договора за нарушение условий Договора.";</w:t>
      </w:r>
    </w:p>
    <w:p>
      <w:r>
        <w:t xml:space="preserve">пункт 19 изложить в новой редакции:</w:t>
      </w:r>
    </w:p>
    <w:p>
      <w:r>
        <w:t xml:space="preserve">"19. Для участия в аукционных торгах Участники подтверждают квалификационные требования по правоспособности и платежеспособности путем предоставления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предоставления копии Устава;</w:t>
      </w:r>
    </w:p>
    <w:p>
      <w:pPr>
        <w:pStyle w:val="Heading2"/>
      </w:pPr>
      <w:r>
        <w:t xml:space="preserve">Подпункт 2</w:t>
      </w:r>
    </w:p>
    <w:p>
      <w:r>
        <w:t xml:space="preserve">2) предоставления копии справки о государственной регистрации/перерегистрации юридического лица;</w:t>
      </w:r>
    </w:p>
    <w:p>
      <w:pPr>
        <w:pStyle w:val="Heading2"/>
      </w:pPr>
      <w:r>
        <w:t xml:space="preserve">Подпункт 3</w:t>
      </w:r>
    </w:p>
    <w:p>
      <w:r>
        <w:t xml:space="preserve">3) предоставления копии решения соответствующего органа юридического лица о назначении первого руководителя;</w:t>
      </w:r>
    </w:p>
    <w:p>
      <w:pPr>
        <w:pStyle w:val="Heading2"/>
      </w:pPr>
      <w:r>
        <w:t xml:space="preserve">Подпункт 4</w:t>
      </w:r>
    </w:p>
    <w:p>
      <w:r>
        <w:t xml:space="preserve">4) предоставления доверенности на представителя (в случае, если представление интересов осуществляет не первый руководитель);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предоставления информации о реквизитах юридического лица (банковские реквизиты, адрес, контактные телефоны, электронный адрес);</w:t>
      </w:r>
    </w:p>
    <w:p>
      <w:pPr>
        <w:pStyle w:val="Heading2"/>
      </w:pPr>
      <w:r>
        <w:t xml:space="preserve">Подпункт 6</w:t>
      </w:r>
    </w:p>
    <w:p>
      <w:r>
        <w:t xml:space="preserve">6) внесения финансового обеспечения заявки на участие в аукционных торгах;</w:t>
      </w:r>
    </w:p>
    <w:p>
      <w:pPr>
        <w:pStyle w:val="Heading2"/>
      </w:pPr>
      <w:r>
        <w:t xml:space="preserve">Подпункт 7</w:t>
      </w:r>
    </w:p>
    <w:p>
      <w:r>
        <w:t xml:space="preserve">7) копии технических условий на подключение к электрической сети, выданных и согласованных в соответствии с Электросетевыми правилами либо указание точки подключения к электрическим сетям в соответствии с Графиком;</w:t>
      </w:r>
    </w:p>
    <w:p>
      <w:pPr>
        <w:pStyle w:val="Heading2"/>
      </w:pPr>
      <w:r>
        <w:t xml:space="preserve">Подпункт 8</w:t>
      </w:r>
    </w:p>
    <w:p>
      <w:r>
        <w:t xml:space="preserve">8) копии правоустанавливающих документов на земельный участок в соответствии с Земельным кодексом Республики Казахстан либо указание земельного участка в соответствии с Графиком;</w:t>
      </w:r>
    </w:p>
    <w:p>
      <w:pPr>
        <w:pStyle w:val="Heading2"/>
      </w:pPr>
      <w:r>
        <w:t xml:space="preserve">Подпункт 9</w:t>
      </w:r>
    </w:p>
    <w:p>
      <w:r>
        <w:t xml:space="preserve">9) копию письма согласования Системного оператора "Схемы выдачи мощности электростанции" с заявленной электрической мощностью 5 МВт и более разработанную в соответствии с Электросетевыми правилами либо указанием точки подключения к электрическим сетям в соответствии с графиком;</w:t>
      </w:r>
    </w:p>
    <w:p>
      <w:pPr>
        <w:pStyle w:val="Heading2"/>
      </w:pPr>
      <w:r>
        <w:t xml:space="preserve">Подпункт 10</w:t>
      </w:r>
    </w:p>
    <w:p>
      <w:r>
        <w:t xml:space="preserve">10) письмо-подтверждение об ознакомлении Участника с документацией, размещенной на интернет-ресурсе Организатора, для участников, принимающих участие в аукционных торгах с документацией.";</w:t>
      </w:r>
    </w:p>
    <w:p>
      <w:r>
        <w:t xml:space="preserve">пункт 57 изложить в новой редакции:</w:t>
      </w:r>
    </w:p>
    <w:p>
      <w:r>
        <w:t xml:space="preserve">"57. По итогам проведенных аукционных торгов Организатор в течение 1 (один) часа после закрытия торговой сессии отправляет Участникам в электронном виде уведомления об итогах прошедших аукционных торгов. Письменные уведомления направляются участникам не позднее 18-00 часов времени Астаны следующего рабочего дня.";</w:t>
      </w:r>
    </w:p>
    <w:p>
      <w:r>
        <w:t xml:space="preserve">пункт 60-5 изложить в новой редакции:</w:t>
      </w:r>
    </w:p>
    <w:p>
      <w:r>
        <w:t xml:space="preserve">"60-5. Уполномоченный орган в области охраны окружающей среды в течение 7 (семь) календарных дней после получения информаций, указанных в пунктах 60-2 и 60-3 настоящих Правил, направляет Организатору следующую информацию для проведения аукционных торгов:</w:t>
      </w:r>
    </w:p>
    <w:p>
      <w:pPr>
        <w:pStyle w:val="Heading2"/>
      </w:pPr>
      <w:r>
        <w:t xml:space="preserve">Подпункт 1</w:t>
      </w:r>
    </w:p>
    <w:p>
      <w:r>
        <w:t xml:space="preserve">1) по группам населенных пунктов для внедрения объектов энергетической утилизации, определенных Правилами формирования перечня энергопроизводящих организаций, использующих энергетическую утилизацию отходов, утверждаемыми уполномоченным органом в области охраны окружающей среды в соответствии с подпунктом 28-17) статьи 17 Экологического Кодекса Республики Казахстан (далее — Экологический кодекс);</w:t>
      </w:r>
    </w:p>
    <w:p>
      <w:pPr>
        <w:pStyle w:val="Heading2"/>
      </w:pPr>
      <w:r>
        <w:t xml:space="preserve">Подпункт 2</w:t>
      </w:r>
    </w:p>
    <w:p>
      <w:r>
        <w:t xml:space="preserve">2) по документам местных исполнительных органов по резервированию земельных участков в каждом населенном пункте группы, указанной в подпункте 1) настоящего пункта;</w:t>
      </w:r>
    </w:p>
    <w:p>
      <w:pPr>
        <w:pStyle w:val="Heading2"/>
      </w:pPr>
      <w:r>
        <w:t xml:space="preserve">Подпункт 3</w:t>
      </w:r>
    </w:p>
    <w:p>
      <w:r>
        <w:t xml:space="preserve">3) об объемах образуемых отходов в каждом населенном пункте группы, указанной в подпункте 1) настоящего пункта, в котором предполагается внедрение энергетической утилизации отходов;</w:t>
      </w:r>
    </w:p>
    <w:p>
      <w:pPr>
        <w:pStyle w:val="Heading2"/>
      </w:pPr>
      <w:r>
        <w:t xml:space="preserve">Подпункт 4</w:t>
      </w:r>
    </w:p>
    <w:p>
      <w:r>
        <w:t xml:space="preserve">4) о ближайших точках подключения к электрическим сетям для каждого населенного пункта группы, указанной в подпункте 1) настоящего пункта, в котором предполагается внедрение энергетической утилизации отходов;</w:t>
      </w:r>
    </w:p>
    <w:p>
      <w:pPr>
        <w:pStyle w:val="Heading2"/>
      </w:pPr>
      <w:r>
        <w:t xml:space="preserve">Подпункт 5</w:t>
      </w:r>
    </w:p>
    <w:p>
      <w:r>
        <w:t xml:space="preserve">5) о предельной аукционной цене по каждой группе;</w:t>
      </w:r>
    </w:p>
    <w:p>
      <w:pPr>
        <w:pStyle w:val="Heading2"/>
      </w:pPr>
      <w:r>
        <w:t xml:space="preserve">Подпункт 6</w:t>
      </w:r>
    </w:p>
    <w:p>
      <w:r>
        <w:t xml:space="preserve">6) об установленной мощности предполагаемых объектов по энергетической утилизации отходов;</w:t>
      </w:r>
    </w:p>
    <w:p>
      <w:pPr>
        <w:pStyle w:val="Heading2"/>
      </w:pPr>
      <w:r>
        <w:t xml:space="preserve">Подпункт 7</w:t>
      </w:r>
    </w:p>
    <w:p>
      <w:r>
        <w:t xml:space="preserve">7) о сроках и дате проведения аукционных торгов, сроках приема документов и регистрации заявителей в аукционных торгах, а также сроках и дате проведения торговой сессии.</w:t>
      </w:r>
    </w:p>
    <w:p>
      <w:r>
        <w:t xml:space="preserve">При этом, дата проведения торговой сессии определяется не менее чем за 2 (два) месяца с момента получения Организатором информаций, указанных в настоящем пункте.";</w:t>
      </w:r>
    </w:p>
    <w:p>
      <w:r>
        <w:t xml:space="preserve">пункт 64-1 изложить в новой редакции:</w:t>
      </w:r>
    </w:p>
    <w:p>
      <w:r>
        <w:t xml:space="preserve">"64-1. В случае если аукционные торги объявлены не состоявшимися по причинам, указанным в пункте 51 настоящих Правил, Организатор уведомляет об этом уполномоченный орган в порядке, установленном пунктом 59 настоящих Правил.</w:t>
      </w:r>
    </w:p>
    <w:p>
      <w:r>
        <w:t xml:space="preserve">Повторные аукционные торги проводятся не позднее 3 (три) месяцев с даты объявления аукционных торгов не состоявшимися, не более одного раза.</w:t>
      </w:r>
    </w:p>
    <w:p>
      <w:r>
        <w:t xml:space="preserve">При объявлении повторных аукционных торгов не состоявшимися по причинам, указанным в пункте 51 настоящих Правил, Организатор осуществляет возврат заявителю оплату услуг Организатора в течение 3 (три) рабочих дней со дня проведения повторных аукционных торгов при объявлении их не состоявшимися.</w:t>
      </w:r>
    </w:p>
    <w:p>
      <w:r>
        <w:t xml:space="preserve">Оплата услуг Организатора за участие в повторных аукционных торгах не производится участниками, ранее принимавшими участие в предыдущих аукционных торгах, объявленных не состоявшимися по причинам, указанным в пункте 51 настоящих Правил.</w:t>
      </w:r>
    </w:p>
    <w:p>
      <w:r>
        <w:t xml:space="preserve">Дата проведения аукционных торгов определяется уполномоченным органом и публикуется на интернет-ресурсе уполномоченного органа и Организатора не позднее чем за 30 (тридцать) календарных дней до даты проведения повторных аукционных торгов.</w:t>
      </w:r>
    </w:p>
    <w:p>
      <w:r>
        <w:t xml:space="preserve">Прием документов и регистрация заявителей в повторных аукционных торгах производится Организатором в соответствии с настоящими Правилами и прекращается за 5 (пять) рабочих дней до начала проведения повторных аукционных торгов.";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экологии и природных ресурсов Республики Казахстан</w:t>
      </w:r>
    </w:p>
    <w:p>
      <w:r>
        <w:t xml:space="preserve">|  | Приложение к приказу Министр энергетики Республики Казахстан от 11 октября 2023 года № 361 |</w:t>
      </w:r>
    </w:p>
    <w:p>
      <w:r>
        <w:t xml:space="preserve">|---|---|</w:t>
      </w:r>
    </w:p>
    <w:p>
      <w:r>
        <w:t xml:space="preserve">|  | Приложение 1 к Правилам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 |</w:t>
      </w:r>
    </w:p>
    <w:p>
      <w:r>
        <w:t xml:space="preserve">|  | Форма |</w:t>
      </w:r>
    </w:p>
    <w:p>
      <w:pPr>
        <w:pStyle w:val="Heading2"/>
      </w:pPr>
      <w:r>
        <w:t xml:space="preserve">Глава График проведения аукционных торгов</w:t>
      </w:r>
    </w:p>
    <w:p>
      <w:r>
        <w:t xml:space="preserve">| Дата (месяц) торгов | Время проведения торгов (по времени города Астана) | Период приема документов для включения в реестр участников аукционных торгов | Зона ЕЭС | Тип ВИЭ | Объем закупаемой установленной мощности, МВт | Величина предельной аукционной цены, тг /кВт*ч | Требуемая дата ввода в эксплуатацию, срок действия договора | Финансовое обеспечение заявки на участие в аукционных торгах из расчета на 1 кВт установленной мощности проекта | Финансовое обеспечение исполнения условий договора покупки из расчета на 1 кВт установленной мощности проекта | Наличие документации (имеется/отсутствует) |</w:t>
      </w:r>
    </w:p>
    <w:p>
      <w:r>
        <w:t xml:space="preserve">|---|---|---|---|---|---|---|---|---|---|---|</w:t>
      </w:r>
    </w:p>
    <w:p>
      <w:r>
        <w:t xml:space="preserve">| малой от 0,1 до 10 МВт включительно (для ВЭС от 0,75 МВт) | крупные свыше 10 МВт |  |  |  |  |  |  |  |  |  |</w:t>
      </w:r>
    </w:p>
    <w:p>
      <w:pPr>
        <w:pStyle w:val="Heading2"/>
      </w:pPr>
      <w:r>
        <w:t xml:space="preserve">Глава Таблица 1 с информацией о зарезервированных земельных участках для планируемых к строительству объектов по использованию возобновляемых источников энергии:</w:t>
      </w:r>
    </w:p>
    <w:p>
      <w:r>
        <w:t xml:space="preserve">| № п/п | Область | Район | Населенный пункт | Площадь земли, гектар | Категория земли |</w:t>
      </w:r>
    </w:p>
    <w:p>
      <w:r>
        <w:t xml:space="preserve">|---|---|---|---|---|---|</w:t>
      </w:r>
    </w:p>
    <w:p>
      <w:pPr>
        <w:pStyle w:val="Heading2"/>
      </w:pPr>
      <w:r>
        <w:t xml:space="preserve">Глава Таблица 2 с информацией о возможности подключения к точкам электрических сетей энергопередающих организаций с указанием ограничений по подключаемой мощности и по количеству новых подключений:</w:t>
      </w:r>
    </w:p>
    <w:p>
      <w:r>
        <w:t xml:space="preserve">| Энергопередающая организация | Область | Район | ЛЭП | Подстанция | Ограничение по подключаемой мощности (максимально допустимый объем установленной мощности), МВт | Ограничение по количеству новых подключений (присоединений) |</w:t>
      </w:r>
    </w:p>
    <w:p>
      <w:r>
        <w:t xml:space="preserve">|---|---|---|---|---|---|---|</w:t>
      </w:r>
    </w:p>
    <w:p>
      <w:r>
        <w:t xml:space="preserve">| Название, координаты | Шины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аббревиатур, используемых в настоящем приложении: ЕЭС – единая энергетическая система; ВИЭ – возобновляемые источники энергии; ВЭС – ветровые электростанции; ЛЭП – линии электропередачи; МВт – мегаватт; кВт – киловатт; тг/кВт*ч – тенге/киловатт*час.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