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внутренних дел Республики Казахстан от 7 ноября 2014 года № 782 "Об утверждении Правил осуществления деятельности негосударственных противопожарных служб"</w:t>
      </w:r>
    </w:p>
    <w:p>
      <w:r>
        <w:t xml:space="preserve">Приказ, Изменения. Министерство по чрезвычайным ситуациям Республики Казахстан (Образован Указом Президента РК от 09.09.2020 г. № 408; старое название: Комитет по чрезвычайным ситуациям МВД РК; Агентство РК по чрезвычайным ситуациям; Государственный комитет РК по чрезвычайным ситуациям; Комитет РК по чрезвычайным ситуациям). от 09.06.2023. № 182854. редакция от 09.06.2023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внутренних дел Республики Казахстан от 7 ноября 2014 года № 782 "Об утверждении Правил осуществления деятельности негосударственных противопожарных служб" (зарегистрирован в Реестре государственной регистрации нормативных правовых актов за № 9931) следующее изменения:</w:t>
      </w:r>
    </w:p>
    <w:p>
      <w:r>
        <w:t xml:space="preserve">в Правилах осуществления деятельности негосударственных противопожарных служб, утвержденных указанным приказом:</w:t>
      </w:r>
    </w:p>
    <w:p>
      <w:r>
        <w:t xml:space="preserve">пункт 3 исключить;</w:t>
      </w:r>
    </w:p>
    <w:p>
      <w:pPr>
        <w:pStyle w:val="Heading2"/>
      </w:pPr>
      <w:r>
        <w:t xml:space="preserve">Приложение приложение 2 к указанным Правилам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противопожарной службы Министерства по чрезвычайным ситуациям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по чрезвычайным ситуациям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чрезвычайным ситуациям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по чрезвычайным ситуациям Республики Казахстан | М. Пшембаев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индустрии и инфраструктурного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энергетики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национальной экономики Республики Казахстан</w:t>
      </w:r>
    </w:p>
    <w:p>
      <w:r>
        <w:t xml:space="preserve">|  | Приложение к приказу вице-министр от 9 июня 2023 года № 312 |</w:t>
      </w:r>
    </w:p>
    <w:p>
      <w:r>
        <w:t xml:space="preserve">|---|---|</w:t>
      </w:r>
    </w:p>
    <w:p>
      <w:r>
        <w:t xml:space="preserve">|  | Приложение 2 к Правилам осуществления деятельности негосударственных противопожарных служб |</w:t>
      </w:r>
    </w:p>
    <w:p>
      <w:pPr>
        <w:pStyle w:val="Heading2"/>
      </w:pPr>
      <w:r>
        <w:t xml:space="preserve">Глава Определение количества основных пожарных автомобилей для негосударственной противопожарной службы</w:t>
      </w:r>
    </w:p>
    <w:p>
      <w:pPr>
        <w:pStyle w:val="Heading2"/>
      </w:pPr>
      <w:r>
        <w:t xml:space="preserve">Пункт 1</w:t>
      </w:r>
    </w:p>
    <w:p>
      <w:r>
        <w:t xml:space="preserve">1. Количество основных пожарных автомобилей для негосударственной противопожарной службы определяется отношением требуемого расхода воды на тушение наиболее сложного варианта возможного пожара на объекте к расходу воды, подаваемому расчетом одного пожарного автомобиля ручными стволами (14 л/с), но не менее двух.</w:t>
      </w:r>
    </w:p>
    <w:p>
      <w:r>
        <w:t xml:space="preserve">Полученное количество необходимо округлять при значении более 0,5 в сторону увеличения.</w:t>
      </w:r>
    </w:p>
    <w:p>
      <w:pPr>
        <w:pStyle w:val="Heading2"/>
      </w:pPr>
      <w:r>
        <w:t xml:space="preserve">Пункт 2</w:t>
      </w:r>
    </w:p>
    <w:p>
      <w:r>
        <w:t xml:space="preserve">2. Расчет требуемого расхода воды на тушение определяется в соответствии с Правилами организации тушения пожаров, утвержденными приказом Министра внутренних дел Республики Казахстан от 26 июня 2017 года № 446 (зарегистрирован в Реестре государственной регистрации нормативных правовых актов за № 15430).</w:t>
      </w:r>
    </w:p>
    <w:p>
      <w:pPr>
        <w:pStyle w:val="Heading2"/>
      </w:pPr>
      <w:r>
        <w:t xml:space="preserve">Пункт 3</w:t>
      </w:r>
    </w:p>
    <w:p>
      <w:r>
        <w:t xml:space="preserve">3. Наиболее сложным вариантом возможного пожара принимается пожар:</w:t>
      </w:r>
    </w:p>
    <w:p>
      <w:pPr>
        <w:pStyle w:val="Heading2"/>
      </w:pPr>
      <w:r>
        <w:t xml:space="preserve">Подпункт 1</w:t>
      </w:r>
    </w:p>
    <w:p>
      <w:r>
        <w:t xml:space="preserve">1) на скважине с наибольшей производительностью для объектов по добыче нефти и (или) газа;</w:t>
      </w:r>
    </w:p>
    <w:p>
      <w:pPr>
        <w:pStyle w:val="Heading2"/>
      </w:pPr>
      <w:r>
        <w:t xml:space="preserve">Подпункт 2</w:t>
      </w:r>
    </w:p>
    <w:p>
      <w:r>
        <w:t xml:space="preserve">2) резервуара наибольшей вместимости для нефтеперекачивающих станций, газонаполнительных станций, нефтебаз, складов нефтепродуктов, станций подземного хранения газа;</w:t>
      </w:r>
    </w:p>
    <w:p>
      <w:pPr>
        <w:pStyle w:val="Heading2"/>
      </w:pPr>
      <w:r>
        <w:t xml:space="preserve">Подпункт 3</w:t>
      </w:r>
    </w:p>
    <w:p>
      <w:r>
        <w:t xml:space="preserve">3) в основном производственном здании или наружной технологической установке газоперерабатывающих заводов, нефтеперерабатывающих заводов, газокомпрессорных станций, нефтеналивных и нефтесливных эстакад, предприятий по производству нефтехимической продукции, химической продукции, шин и резинотехнических изделий, минеральных удобрений, по переработке и получению сжиженных углеводородных газов, объектов месторождений добычи угля, черных и цветных металлов, элеваторов, баз поддержки морских операций для добычи и подготовки нефти и газа на шельфе;</w:t>
      </w:r>
    </w:p>
    <w:p>
      <w:pPr>
        <w:pStyle w:val="Heading2"/>
      </w:pPr>
      <w:r>
        <w:t xml:space="preserve">Подпункт 4</w:t>
      </w:r>
    </w:p>
    <w:p>
      <w:r>
        <w:t xml:space="preserve">4) в наиболее пожароопасном здании, сооружении или наружной установке для организации электроэнергетической промышленности;</w:t>
      </w:r>
    </w:p>
    <w:p>
      <w:pPr>
        <w:pStyle w:val="Heading2"/>
      </w:pPr>
      <w:r>
        <w:t xml:space="preserve">Подпункт 5</w:t>
      </w:r>
    </w:p>
    <w:p>
      <w:r>
        <w:t xml:space="preserve">5) в наиболее пожароопасном здании, сооружении или наружной установке всех видов промышленного производства;</w:t>
      </w:r>
    </w:p>
    <w:p>
      <w:pPr>
        <w:pStyle w:val="Heading2"/>
      </w:pPr>
      <w:r>
        <w:t xml:space="preserve">Подпункт 6</w:t>
      </w:r>
    </w:p>
    <w:p>
      <w:r>
        <w:t xml:space="preserve">6) в здании вокзала аэропортов;</w:t>
      </w:r>
    </w:p>
    <w:p>
      <w:pPr>
        <w:pStyle w:val="Heading2"/>
      </w:pPr>
      <w:r>
        <w:t xml:space="preserve">Подпункт 7</w:t>
      </w:r>
    </w:p>
    <w:p>
      <w:r>
        <w:t xml:space="preserve">7) на объекте хранения наибольшей вместимости для складов взрывчатых веществ;</w:t>
      </w:r>
    </w:p>
    <w:p>
      <w:pPr>
        <w:pStyle w:val="Heading2"/>
      </w:pPr>
      <w:r>
        <w:t xml:space="preserve">Подпункт 8</w:t>
      </w:r>
    </w:p>
    <w:p>
      <w:r>
        <w:t xml:space="preserve">8) в здании с наибольшей торговой площадью для рынков.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