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Министра финансов Республики Казахстан от 19 января 2022 года № 54 и Министра национальной экономики Республики Казахстан от 19 января 2022 года № 5 "Об утверждении критериев оценки степени риска и проверочных листов в области оценочной деятельности в отношении палат оценщиков"</w:t>
      </w:r>
    </w:p>
    <w:p>
      <w:r>
        <w:t xml:space="preserve">Приказ, Изменения. Министерство финансов Республики Казахстан, Министерство национальной экономики Республики Казахстан (Образован Указом Президента РК от 06.08.2014 г. № 875). от 05.06.2023. № 182590. редакция от 05.06.2023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финансов Республики Казахстан от 19 января 2022 года № 54 и Министра национальной экономики Республики Казахстан от 19 января 2022 года № 5 "Об утверждении критериев оценки степени риска и проверочных листов в области оценочной деятельности в отношении палат оценщиков" (зарегистрирован в Реестре государственной регистрации нормативных правовых актов под № 26590)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пунктами 5 и 6 статьи 141 и пунктом 1 статьи 143 Предпринимательского кодекса Республики Казахстан ПРИКАЗЫВАЕМ :";</w:t>
      </w:r>
    </w:p>
    <w:p>
      <w:r>
        <w:t xml:space="preserve">приложения 1 и 2 к указанному совместному приказу изложить в новой редакции согласно приложениям 1 и 2 к настоящему совместному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финансов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национальной экономики Республики Казахстан | __________А. Куантыров |</w:t>
      </w:r>
    </w:p>
    <w:p>
      <w:r>
        <w:t xml:space="preserve">|---|---|</w:t>
      </w:r>
    </w:p>
    <w:p>
      <w:r>
        <w:t xml:space="preserve">| Заместитель Премьер-Министра - Министр финансов Республики Казахстан | _________Е. Жамаубаев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1 к совместному приказу Министр национальной экономики Республики Казахстан от 6 июня 2023 года № 100 и Заместитель Премьер-Министра - Министр финансов Республики Казахстан от 5 июня 2023 года № 608 |</w:t>
      </w:r>
    </w:p>
    <w:p>
      <w:r>
        <w:t xml:space="preserve">|---|---|</w:t>
      </w:r>
    </w:p>
    <w:p>
      <w:r>
        <w:t xml:space="preserve">|  | Приложение 1 к совместному приказу Министра национальной экономики Республики Казахстан от 19 января 2022 года № 5 и Министра финансов Республики Казахстан от 19 января 2022 года № 54 |</w:t>
      </w:r>
    </w:p>
    <w:p>
      <w:pPr>
        <w:pStyle w:val="Heading2"/>
      </w:pPr>
      <w:r>
        <w:t xml:space="preserve">Глава Критерии оценки степени риска в области оценочной деятельности в отношении палат оценщиков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степени риска в области оценочной деятельности в отношении палат оценщиков (далее – Критерии) разработаны в соответствии со статьей 141 и статьей 143 Предпринимательского кодекса Республики Казахстан (далее – Кодекс), приказом исполняющего обязанности Министра национальной экономики Республики Казахстан от 22 июня 2022 года № 48 "Об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№ 3 "Об утверждении Правил формирования государственными органами системы оценки рисков и формы проверочных листов" (зарегистрирован в Реестре государственной регистрации нормативных правовых актов под № 28577) и приказом исполняющего обязанности Министра национальной экономики Республики Казахстан от 31 июля 2018 года № 3 "Об утверждении формы проверочного листа" (зарегистрирован в Реестре государственной регистрации нормативных правовых актов под № 17371), для отнесения субъектов контроля, осуществляющих оценочную деятельность, к степеням риска.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использованы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балл – количественная мера исчисления риска;</w:t>
      </w:r>
    </w:p>
    <w:p>
      <w:pPr>
        <w:pStyle w:val="Heading2"/>
      </w:pPr>
      <w:r>
        <w:t xml:space="preserve">Подпункт 2</w:t>
      </w:r>
    </w:p>
    <w:p>
      <w:r>
        <w:t xml:space="preserve">2) субъект контроля – саморегулируемая организация в сфере профессиональной деятельности, созданная в целях осуществления контроля качества оценочной деятельности ее членов, защиты прав и законных интересов оценщиков;</w:t>
      </w:r>
    </w:p>
    <w:p>
      <w:pPr>
        <w:pStyle w:val="Heading2"/>
      </w:pPr>
      <w:r>
        <w:t xml:space="preserve">Подпункт 3</w:t>
      </w:r>
    </w:p>
    <w:p>
      <w:r>
        <w:t xml:space="preserve">3)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p>
      <w:pPr>
        <w:pStyle w:val="Heading2"/>
      </w:pPr>
      <w:r>
        <w:t xml:space="preserve">Подпункт 4</w:t>
      </w:r>
    </w:p>
    <w:p>
      <w:r>
        <w:t xml:space="preserve">4) значительное нарушение – нарушение требований, установленных Законом , нормативными правовыми актами Республики Казахстан в области оценочной деятельности, принятыми в целях реализации указанного Закона , которые приводят к существенным нарушениям прав, свобод и законных интересов физических и юридических лиц;</w:t>
      </w:r>
    </w:p>
    <w:p>
      <w:pPr>
        <w:pStyle w:val="Heading2"/>
      </w:pPr>
      <w:r>
        <w:t xml:space="preserve">Подпункт 5</w:t>
      </w:r>
    </w:p>
    <w:p>
      <w:r>
        <w:t xml:space="preserve">5) незначительное нарушение – нарушение требований, установленных Законом , нормативными правовыми актами Республики Казахстан в области оценочной деятельности, принятыми в целях реализации указанного Закона;</w:t>
      </w:r>
    </w:p>
    <w:p>
      <w:pPr>
        <w:pStyle w:val="Heading2"/>
      </w:pPr>
      <w:r>
        <w:t xml:space="preserve">Подпункт 6</w:t>
      </w:r>
    </w:p>
    <w:p>
      <w:r>
        <w:t xml:space="preserve">6) грубое нарушение – нарушение требований, установленных Законом , нормативными правовыми актами Республики Казахстан в области оценочной деятельности, принятыми в целях реализации указанного Закона , влекущих административную ответственность, предусмотренную Кодексом Республики Казахстан "Об административных правонарушениях", а также нарушение условий создания саморегулируемой организацией, основанной на обязательном членстве;</w:t>
      </w:r>
    </w:p>
    <w:p>
      <w:pPr>
        <w:pStyle w:val="Heading2"/>
      </w:pPr>
      <w:r>
        <w:t xml:space="preserve">Подпункт 7</w:t>
      </w:r>
    </w:p>
    <w:p>
      <w:r>
        <w:t xml:space="preserve">7) риск – вероятность причинения вреда в результате деятельности субъекта контроля, законным интересам физических и юридических лиц, имущественным интересам государства с учетом степени тяжести его последствий;</w:t>
      </w:r>
    </w:p>
    <w:p>
      <w:pPr>
        <w:pStyle w:val="Heading2"/>
      </w:pPr>
      <w:r>
        <w:t xml:space="preserve">Подпункт 8</w:t>
      </w:r>
    </w:p>
    <w:p>
      <w:r>
        <w:t xml:space="preserve">8)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контроля по степеням риска для последующего осуществления профилактического контроля с посещением субъекта контроля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контроля и (или) освобождения такого субъекта контроля от профилактического контроля с посещением субъекта контроля;</w:t>
      </w:r>
    </w:p>
    <w:p>
      <w:pPr>
        <w:pStyle w:val="Heading2"/>
      </w:pPr>
      <w:r>
        <w:t xml:space="preserve">Подпункт 9</w:t>
      </w:r>
    </w:p>
    <w:p>
      <w:r>
        <w:t xml:space="preserve">9) объективные критерии оценки степени риска (далее – объективные критерии) – критерии оценки степени риска, используемые для отбора субъектов контроля в зависимости от степени риска в оценочной деятельности и не зависящие непосредственно от отдельного субъекта контроля;</w:t>
      </w:r>
    </w:p>
    <w:p>
      <w:pPr>
        <w:pStyle w:val="Heading2"/>
      </w:pPr>
      <w:r>
        <w:t xml:space="preserve">Подпункт 10</w:t>
      </w:r>
    </w:p>
    <w:p>
      <w:r>
        <w:t xml:space="preserve">10) субъективные критерии оценки степени риска (далее – субъективные критерии) – критерии оценки степени риска, используемые для отбора субъектов контроля в зависимости от результатов деятельности конкретного субъекта контроля;</w:t>
      </w:r>
    </w:p>
    <w:p>
      <w:pPr>
        <w:pStyle w:val="Heading2"/>
      </w:pPr>
      <w:r>
        <w:t xml:space="preserve">Подпункт 11</w:t>
      </w:r>
    </w:p>
    <w:p>
      <w:r>
        <w:t xml:space="preserve">11) критерии оценки степени риска – совокупность количественных и качественных показателей, связанных с непосредственной деятельностью субъекта контроля, особенностями отраслевого развития и факторами, влияющими на это развитие, позволяющих отнести субъекты контроля к различным степеням риска.</w:t>
      </w:r>
    </w:p>
    <w:p>
      <w:pPr>
        <w:pStyle w:val="Heading2"/>
      </w:pPr>
      <w:r>
        <w:t xml:space="preserve">Глава 2 Объективные критерии</w:t>
      </w:r>
    </w:p>
    <w:p>
      <w:pPr>
        <w:pStyle w:val="Heading2"/>
      </w:pPr>
      <w:r>
        <w:t xml:space="preserve">Пункт 3</w:t>
      </w:r>
    </w:p>
    <w:p>
      <w:r>
        <w:t xml:space="preserve">3. По объективным критериям к субъектам контроля высокой степени риска относятся саморегулируемые организации в области оценочной деятельности.</w:t>
      </w:r>
    </w:p>
    <w:p>
      <w:pPr>
        <w:pStyle w:val="Heading2"/>
      </w:pPr>
      <w:r>
        <w:t xml:space="preserve">Пункт 4</w:t>
      </w:r>
    </w:p>
    <w:p>
      <w:r>
        <w:t xml:space="preserve">4. Для сфер деятельности субъектов контроля, отнесенных к высокой степени риска по объективным критериям, проводятся профилактический контроль с посещением субъекта контроля и внеплановая проверка.</w:t>
      </w:r>
    </w:p>
    <w:p>
      <w:pPr>
        <w:pStyle w:val="Heading2"/>
      </w:pPr>
      <w:r>
        <w:t xml:space="preserve">Глава 3 Субъективные критерии</w:t>
      </w:r>
    </w:p>
    <w:p>
      <w:pPr>
        <w:pStyle w:val="Heading2"/>
      </w:pPr>
      <w:r>
        <w:t xml:space="preserve">Пункт 5</w:t>
      </w:r>
    </w:p>
    <w:p>
      <w:r>
        <w:t xml:space="preserve">5. Определение субъективных критериев осуществляется с применением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базы данных и сбор информации;</w:t>
      </w:r>
    </w:p>
    <w:p>
      <w:pPr>
        <w:pStyle w:val="Heading2"/>
      </w:pPr>
      <w:r>
        <w:t xml:space="preserve">Подпункт 2</w:t>
      </w:r>
    </w:p>
    <w:p>
      <w:r>
        <w:t xml:space="preserve">2) анализ информации и оценка рисков.</w:t>
      </w:r>
    </w:p>
    <w:p>
      <w:pPr>
        <w:pStyle w:val="Heading2"/>
      </w:pPr>
      <w:r>
        <w:t xml:space="preserve">Пункт 6</w:t>
      </w:r>
    </w:p>
    <w:p>
      <w:r>
        <w:t xml:space="preserve">6. Формирование базы данных и сбор информации необходимы для выявления субъектов контроля, нарушающих Закон , нормативные правовые акты Республики Казахстан в области оценочной деятельности, принятые в целях реализации указанного Закона.</w:t>
      </w:r>
    </w:p>
    <w:p>
      <w:r>
        <w:t xml:space="preserve">Процессы сбора и обработки информации в полной мере автоматизируются и допускают возможность проверки корректности полученных данных.</w:t>
      </w:r>
    </w:p>
    <w:p>
      <w:r>
        <w:t xml:space="preserve">Для оценки степени риска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проводимого государственным органом мониторинга отчетности и сведений, представленных субъектами контроля;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предыдущих проверок и профилактического контроля с посещением субъектов контроля.</w:t>
      </w:r>
    </w:p>
    <w:p>
      <w:pPr>
        <w:pStyle w:val="Heading2"/>
      </w:pPr>
      <w:r>
        <w:t xml:space="preserve">Пункт 7</w:t>
      </w:r>
    </w:p>
    <w:p>
      <w:r>
        <w:t xml:space="preserve">7. На основании имеющихся источников информации, регулирующий государственный орган формирует субъективные критерии, подлежащие оценке.</w:t>
      </w:r>
    </w:p>
    <w:p>
      <w:pPr>
        <w:pStyle w:val="Heading2"/>
      </w:pPr>
      <w:r>
        <w:t xml:space="preserve">Пункт 8</w:t>
      </w:r>
    </w:p>
    <w:p>
      <w:r>
        <w:t xml:space="preserve">8.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определяются субъективные критерии, которые в соответствии с критериями оценки степени риска регулирующего государственного органа соответствуют степени нарушения – грубое, значительное и незначительное.</w:t>
      </w:r>
    </w:p>
    <w:p>
      <w:r>
        <w:t xml:space="preserve">Степень нарушения требований к оценке степени риска деятельности субъектов контроля (грубое, значительное, незначительное) присваивается в соответствии с установленными определениями грубых, значительных, незначительных нарушений по субъективным критериям согласно приложению 1 к настоящим Критериям.</w:t>
      </w:r>
    </w:p>
    <w:p>
      <w:r>
        <w:t xml:space="preserve">При анализе и оценке не применяются данные субъективных критериев, ранее учтенные и использованные в отношении конкретного субъекта контроля либо данные, по которым истек срок исковой давности в соответствии с законодательством Республики Казахстан.</w:t>
      </w:r>
    </w:p>
    <w:p>
      <w:r>
        <w:t xml:space="preserve">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посещением, не допускается включение их при формировании списков на очередной период государственного контроля.</w:t>
      </w:r>
    </w:p>
    <w:p>
      <w:r>
        <w:t xml:space="preserve">Уполномоченный орган в области оценочной деятельности по субъективным критериям относит субъекты контроля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При показателе степени риска по субъективным критериям от 71 до 100 включительно субъект (объект) контроля относится к высокой степени риска.</w:t>
      </w:r>
    </w:p>
    <w:p>
      <w:pPr>
        <w:pStyle w:val="Heading2"/>
      </w:pPr>
      <w:r>
        <w:t xml:space="preserve">Пункт 9</w:t>
      </w:r>
    </w:p>
    <w:p>
      <w:r>
        <w:t xml:space="preserve">9. Исходя из приоритетности применяемых источников информации согласно критериям оценки степени риска регулирующего государственного органа в соответствии с главой 5 Критериев, рассчитывается общий показатель степени риска по субъективным критериям по шкале от 0 до 100.</w:t>
      </w:r>
    </w:p>
    <w:p>
      <w:r>
        <w:t xml:space="preserve">Приоритетность применяемых источников информации и значимость показателей субъективных критериев устанавливаются по перечню субъективных критериев для определения степени риска по субъективным критериям в области оценочной деятельности согласно приложению 2 к настоящим Критериям.</w:t>
      </w:r>
    </w:p>
    <w:p>
      <w:pPr>
        <w:pStyle w:val="Heading2"/>
      </w:pPr>
      <w:r>
        <w:t xml:space="preserve">Глава 4 Управление рисками</w:t>
      </w:r>
    </w:p>
    <w:p>
      <w:pPr>
        <w:pStyle w:val="Heading2"/>
      </w:pPr>
      <w:r>
        <w:t xml:space="preserve">Пункт 10</w:t>
      </w:r>
    </w:p>
    <w:p>
      <w:r>
        <w:t xml:space="preserve">10. В целях реализации принципа поощрения добросовестных субъектов контроля и концентрации контроля на нарушителях субъекты контроля освобождаются от проведения профилактического контроля с посещением субъекта контроля на период, определяемый субъективными критериями оценки степени риска регулирующего государственного органа.</w:t>
      </w:r>
    </w:p>
    <w:p>
      <w:pPr>
        <w:pStyle w:val="Heading2"/>
      </w:pPr>
      <w:r>
        <w:t xml:space="preserve">Пункт 11</w:t>
      </w:r>
    </w:p>
    <w:p>
      <w:r>
        <w:t xml:space="preserve">11. Освобождение от профилактического контроля с посещением субъекта контроля возможно на основании применяемых альтернативных (независимых) систем оценки и анализа рисков, аудита, экспертиз в соответствии с критериями оценки степени риска регулирующего государственного органа, если такие основания предусмотрены в международных договорах, ратифицированных Республикой Казахстан.</w:t>
      </w:r>
    </w:p>
    <w:p>
      <w:pPr>
        <w:pStyle w:val="Heading2"/>
      </w:pPr>
      <w:r>
        <w:t xml:space="preserve">Глава 5 Порядок расчета степени риска по субъективным критериям</w:t>
      </w:r>
    </w:p>
    <w:p>
      <w:pPr>
        <w:pStyle w:val="Heading2"/>
      </w:pPr>
      <w:r>
        <w:t xml:space="preserve">Пункт 12</w:t>
      </w:r>
    </w:p>
    <w:p>
      <w:r>
        <w:t xml:space="preserve">12. Государственный орган собирает информацию и формирует базу данных по субъективным критериям из источников согласно пункту 6 Критериев.</w:t>
      </w:r>
    </w:p>
    <w:p>
      <w:r>
        <w:t xml:space="preserve">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контроля (SP) и показателя степени риска по субъективным критериям, определенным в соответствии с пунктом 9 (SC), с последующей нормализацией значений данных в диапазон от 0 до 100 баллов.</w:t>
      </w:r>
    </w:p>
    <w:p>
      <w:r>
        <w:t xml:space="preserve">R пром = SP + SC, где</w:t>
      </w:r>
    </w:p>
    <w:p>
      <w:r>
        <w:t xml:space="preserve">R пром – промежуточный показатель степени риска по субъективным критериям,</w:t>
      </w:r>
    </w:p>
    <w:p>
      <w:r>
        <w:t xml:space="preserve">SР – показатель степени риска по нарушениям,</w:t>
      </w:r>
    </w:p>
    <w:p>
      <w:r>
        <w:t xml:space="preserve">SC – показатель степени риска по субъективным критериям, определенным в соответствии с пунктом 9.</w:t>
      </w:r>
    </w:p>
    <w:p>
      <w:r>
        <w:t xml:space="preserve">Расчет производится по каждому субъекту контроля однородной группы субъектов контроля каждой сферы государственного контроля. При этом перечень оцениваемых субъектов контроля, относимых к однородной группе субъектов контроля одной сферы государственного контроля, образует выборочную совокупность (выборку) для последующей нормализации данных.</w:t>
      </w:r>
    </w:p>
    <w:p>
      <w:pPr>
        <w:pStyle w:val="Heading2"/>
      </w:pPr>
      <w:r>
        <w:t xml:space="preserve">Пункт 13</w:t>
      </w:r>
    </w:p>
    <w:p>
      <w:r>
        <w:t xml:space="preserve">13. По данным, полученным по результатам предыдущих проверок и профилактического контроля с посещением субъектов контроля, формируется показатель степени риска по нарушениям, оцениваемый в баллах от 0 до 100.</w:t>
      </w:r>
    </w:p>
    <w:p>
      <w:r>
        <w:t xml:space="preserve">При выявлении одного грубого нарушения по любому из источников информации, указанных в пункте 6 Критериев, субъекту контроля приравнивается показатель степени риска 100 баллов и в отношении него проводится профилактический контроль с посещением субъекта контроля.</w:t>
      </w:r>
    </w:p>
    <w:p>
      <w:r>
        <w:t xml:space="preserve">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степени.</w:t>
      </w:r>
    </w:p>
    <w:p>
      <w:r>
        <w:t xml:space="preserve">При определении показателя значительных нарушений применяется коэффициент 0,7.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з = (SР 2 х 100/SР 1 ) х 0,7, где:</w:t>
      </w:r>
    </w:p>
    <w:p>
      <w:r>
        <w:t xml:space="preserve">SР з – показатель значительных нарушений;</w:t>
      </w:r>
    </w:p>
    <w:p>
      <w:r>
        <w:t xml:space="preserve">SР 1 – требуемое количество значительных нарушений;</w:t>
      </w:r>
    </w:p>
    <w:p>
      <w:r>
        <w:t xml:space="preserve">SР 2 – количество выявленных значительных нарушений;</w:t>
      </w:r>
    </w:p>
    <w:p>
      <w:r>
        <w:t xml:space="preserve">При определении показателя незначительных нарушений применяется коэффициент 0,3.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н = (SР 2 х 100/SР 1 ) х 0,3, где:</w:t>
      </w:r>
    </w:p>
    <w:p>
      <w:r>
        <w:t xml:space="preserve">SР н – показатель незначительных нарушений;</w:t>
      </w:r>
    </w:p>
    <w:p>
      <w:r>
        <w:t xml:space="preserve">SР 1 – требуемое количество незначительных нарушений;</w:t>
      </w:r>
    </w:p>
    <w:p>
      <w:r>
        <w:t xml:space="preserve">SР 2 – количество выявленных незначительных нарушений;</w:t>
      </w:r>
    </w:p>
    <w:p>
      <w:r>
        <w:t xml:space="preserve">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</w:t>
      </w:r>
    </w:p>
    <w:p>
      <w:r>
        <w:t xml:space="preserve">SР = SР з + SР н , где:</w:t>
      </w:r>
    </w:p>
    <w:p>
      <w:r>
        <w:t xml:space="preserve">SР – показатель степени риска по нарушениям;</w:t>
      </w:r>
    </w:p>
    <w:p>
      <w:r>
        <w:t xml:space="preserve">SР з – показатель значительных нарушений;</w:t>
      </w:r>
    </w:p>
    <w:p>
      <w:r>
        <w:t xml:space="preserve">SР н – показатель незначительных нарушений.</w:t>
      </w:r>
    </w:p>
    <w:p>
      <w:r>
        <w:t xml:space="preserve">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p>
      <w:r>
        <w:t xml:space="preserve">|  | Приложение 1 к Критериям оценки степени риска в области оценочной деятельности в отношении палат оценщиков |</w:t>
      </w:r>
    </w:p>
    <w:p>
      <w:r>
        <w:t xml:space="preserve">|---|---|</w:t>
      </w:r>
    </w:p>
    <w:p>
      <w:pPr>
        <w:pStyle w:val="Heading2"/>
      </w:pPr>
      <w:r>
        <w:t xml:space="preserve">Глава Степени нарушения требований к оценке степени риска деятельности субъектов контроля</w:t>
      </w:r>
    </w:p>
    <w:p>
      <w:r>
        <w:t xml:space="preserve">| № | Требования | Степень нарушения |</w:t>
      </w:r>
    </w:p>
    <w:p>
      <w:r>
        <w:t xml:space="preserve">|---|---|---|</w:t>
      </w:r>
    </w:p>
    <w:p>
      <w:r>
        <w:t xml:space="preserve">| 1. | Предоставление в уполномоченный орган в области оценочной деятельности достоверной информации о деятельности палаты оценщиков и деятельности своих членов по форме, установленной законодательством Республики Казахстан об оценочной деятельности, до 20 числа месяца, следующего за отчетным кварталом, с использованием информационной системы депозитария финансовой отчетности | Грубое |</w:t>
      </w:r>
    </w:p>
    <w:p>
      <w:r>
        <w:t xml:space="preserve">| 2. | Размещение копии отчетов об оценке имущества, являющегося обеспечением при заключении ипотечного договора, а также при реализации заложенного имущества, в электронном формате "PDF (Portabe Dokument Format)" в информационной системе депозитария финансовой отчетности до 20 числа месяца, следующего за отчетным кварталом | Грубое |</w:t>
      </w:r>
    </w:p>
    <w:p>
      <w:r>
        <w:t xml:space="preserve">| 3. | Наличие в составе палаты оценщиков не менее трехсот оценщиков | Значительное |</w:t>
      </w:r>
    </w:p>
    <w:p>
      <w:r>
        <w:t xml:space="preserve">| 4. | Соблюдение требований о членстве оценщика только в одной палате оценщиков | Значительное |</w:t>
      </w:r>
    </w:p>
    <w:p>
      <w:r>
        <w:t xml:space="preserve">| 5. | Установление палатой оценщиков мер по предотвращению или урегулированию конфликта интересов | Значительное |</w:t>
      </w:r>
    </w:p>
    <w:p>
      <w:r>
        <w:t xml:space="preserve">| 6. | Наличие положения о членстве в палате оценщиков, утвержденного общим собранием членов палаты оценщиков | Значительное |</w:t>
      </w:r>
    </w:p>
    <w:p>
      <w:r>
        <w:t xml:space="preserve">| 7. | Наличие Специализированных органов палаты оценщиков, положений о них и правил осуществления ими деятельности | Незначительное |</w:t>
      </w:r>
    </w:p>
    <w:p>
      <w:r>
        <w:t xml:space="preserve">| 8. | Наличие утвержденных общим собранием членов палаты оценщиков отчетов коллегиального и исполнительного органов, контрольного органа (ревизионной комиссии) и специализированных органов в порядке и сроки, установленные уставом палаты оценщиков | Незначительное |</w:t>
      </w:r>
    </w:p>
    <w:p>
      <w:r>
        <w:t xml:space="preserve">| 9. | Наличие кодекса деловой и профессиональной этики оценщиков | Значительное |</w:t>
      </w:r>
    </w:p>
    <w:p>
      <w:r>
        <w:t xml:space="preserve">| 10. | Наличие Положения о деятельности Экспертного Совета палаты оценщиков, утвержденного общим собранием членов палаты оценщиков | Незначительное |</w:t>
      </w:r>
    </w:p>
    <w:p>
      <w:r>
        <w:t xml:space="preserve">| 11. | Наличие в составе Экспертного Совета палаты оценщиков не менее пяти экспертов | Значительное |</w:t>
      </w:r>
    </w:p>
    <w:p>
      <w:r>
        <w:t xml:space="preserve">| 12. | Соблюдение сроков избрания членов Экспертного Совета палаты оценщиков | Незначительное |</w:t>
      </w:r>
    </w:p>
    <w:p>
      <w:r>
        <w:t xml:space="preserve">| 13. | Соблюдение требования о сроке пребывания эксперта на должности Председателя Экспертного Совета палаты оценщиков | Незначительное |</w:t>
      </w:r>
    </w:p>
    <w:p>
      <w:r>
        <w:t xml:space="preserve">| 14. | Соблюдение сроков проведения экспертизы отчета об оценке | Значительное |</w:t>
      </w:r>
    </w:p>
    <w:p>
      <w:r>
        <w:t xml:space="preserve">| 15. | Соответствие документов, представляемых физическим лицом для вступления в члены палаты оценщиков, следующему списку: 1) заявление; 2) документ, удостоверяющий личность; 3) свидетельство о присвоении квалификации "оценщик"; 4) справка об отсутствии неснятой или непогашенной судимости за правонарушения в сфере экономической деятельности, а также за преступления средней тяжести, совершенные умышленно, тяжкие и особо тяжкие преступления; 5) иные документы, установленные палатой оценщиков | Значительное |</w:t>
      </w:r>
    </w:p>
    <w:p>
      <w:r>
        <w:t xml:space="preserve">| 16. | Наличие информации о юридическом лице, с которым оценщик заключил трудовой договор, а также сведений о любых изменениях этой информации, предоставляемой оценщиком в течение десяти календарных дней с даты заключения трудового договора и (или) возникновения изменений | Незначительное |</w:t>
      </w:r>
    </w:p>
    <w:p>
      <w:r>
        <w:t xml:space="preserve">| 17. | Наличие информации, о подписанных в указанный период отчетах об оценке, с указанием даты составления отчета и его порядкового номера, объекта оценки, вида определенной стоимости, ежеквартально предоставляемой оценщиком | Незначительное |</w:t>
      </w:r>
    </w:p>
    <w:p>
      <w:r>
        <w:t xml:space="preserve">| 18. | Наличие согласованных с уполномоченным органом в области оценочной деятельности тестовых заданий для проведения квалификационного экзамена оценщиков, экспертов, разработанных палатой оценщиков | Значительное |</w:t>
      </w:r>
    </w:p>
    <w:p>
      <w:r>
        <w:t xml:space="preserve">| 19. | Наличие правил выдачи свидетельств о присвоении квалификаций "оценщик", "эксперт" | Значительное |</w:t>
      </w:r>
    </w:p>
    <w:p>
      <w:r>
        <w:t xml:space="preserve">| 20. | Наличие программы обучения, профессиональной переподготовки кандидатов в оценщики и соответствие типовой программе, включающей дисциплины в следующем объеме часов: по модулю "Общие дисциплины" – 30 часов: 1) правовое регулирование оценочной деятельности, стандарты оценки; 2) микро - и макроэкономические основы рыночного ценообразования; 3) основы бухгалтерского учета и аудита, налоги и налогообложение; 4) математические методы анализа в оценочной деятельности; по модулю "Блок специализаций для оценщиков": 1) оценка недвижимого имущества – 40 часов 2) оценка движимого имущества – 50 часов 3) оценка интеллектуальной собственности, стоимости нематериальных активов – 40 часов 4) оценка бизнеса и прав участия в бизнесе – 40 часов; по модулю "Специализация для эксперта" – законодательство в области оценочной деятельности Республики Казахстан, стандарты оценки – 20 часов | Значительное |</w:t>
      </w:r>
    </w:p>
    <w:p>
      <w:r>
        <w:t xml:space="preserve">| 21. | Наличие правил выдачи сертификатов о прохождении курсов повышения квалификации и переподготовки оценщиков и экспертов, утвержденных палатой оценщиков | Незначительное |</w:t>
      </w:r>
    </w:p>
    <w:p>
      <w:r>
        <w:t xml:space="preserve">| 22. | Наличие протокола о проведении заседания Квалификационной комиссии | Незначительное |</w:t>
      </w:r>
    </w:p>
    <w:p>
      <w:r>
        <w:t xml:space="preserve">| 23. | Наличие порядка организации, проведения проверок и рассмотрения обращений в отношении членов палаты оценщиков | Значительное |</w:t>
      </w:r>
    </w:p>
    <w:p>
      <w:r>
        <w:t xml:space="preserve">| 24. | Наличие у палаты оценщиков интернет-ресурса | Значительное |</w:t>
      </w:r>
    </w:p>
    <w:p>
      <w:r>
        <w:t xml:space="preserve">| 25. | Своевременное размещение на интернет-ресурсе палаты оценщиков ежеквартальной информации о своей деятельности и деятельности своих членов, предоставляемой в уполномоченный орган в области оценочной деятельности | Значительное |</w:t>
      </w:r>
    </w:p>
    <w:p>
      <w:r>
        <w:t xml:space="preserve">| 26. | Размещение на интернет-ресурсе палаты оценщиков ежегодного отчета о поступлении и расходовании денег | Незначительное |</w:t>
      </w:r>
    </w:p>
    <w:p>
      <w:r>
        <w:t xml:space="preserve">| 27. | Размещение на интернет-ресурсе палаты оценщиков решений о присвоении квалификаций "оценщик", "эксперт" | Значительное |</w:t>
      </w:r>
    </w:p>
    <w:p>
      <w:r>
        <w:t xml:space="preserve">| 28. | Ведение и размещение на интернет-ресурсе палаты оценщиков реестров членов палаты оценщиков, членов экспертного совета, а также своевременное внесение изменений (дополнений) в сведения. | Значительное |</w:t>
      </w:r>
    </w:p>
    <w:p>
      <w:r>
        <w:t xml:space="preserve">| 29. | Своевременное внесение в реестр членов экспертного совета информации с указанием даты и времени о прекращении действия свидетельства о присвоении квалификации "эксперт" | Значительное |</w:t>
      </w:r>
    </w:p>
    <w:p>
      <w:r>
        <w:t xml:space="preserve">|  | Приложение 2 к Критериям оценки степени риска в области оценочной деятельности в отношении палат оценщиков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 в области оценочной деятельности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в соответствии со статьей 138 ____________________________________________________________________ Предпринимательского кодекса Республики Казахстан в отношении палат оценщиков ____________________________________________________________________</w:t>
      </w:r>
    </w:p>
    <w:p>
      <w:r>
        <w:t xml:space="preserve">| Показатель субъективного критерия | Источник информации по показателю субъективного критерия | Удельный вес по значимости, балл (в сумме не превышает 100 баллов), w i | Условия /значения, x i |</w:t>
      </w:r>
    </w:p>
    <w:p>
      <w:r>
        <w:t xml:space="preserve">|---|---|---|---|</w:t>
      </w:r>
    </w:p>
    <w:p>
      <w:r>
        <w:t xml:space="preserve">| условие 1/значение |  |  |  |</w:t>
      </w:r>
    </w:p>
    <w:p>
      <w:r>
        <w:t xml:space="preserve">| 1 | 2 | 3 | 4 |</w:t>
      </w:r>
    </w:p>
    <w:p>
      <w:r>
        <w:t xml:space="preserve">| Несвоевременное предоставление или непредоставление, а равно предоставление недостоверной информации по форме, установленной законодательством Республики Казахстан об оценочной деятельности, за один квартал | Результаты проводимого государственным органом мониторинга отчетности и сведений, представленных субъектами контроля | 100 | 1 факт |</w:t>
      </w:r>
    </w:p>
    <w:p>
      <w:r>
        <w:t xml:space="preserve">| 100 % |  |  |  |</w:t>
      </w:r>
    </w:p>
    <w:p>
      <w:pPr>
        <w:pStyle w:val="Heading2"/>
      </w:pPr>
      <w:r>
        <w:t xml:space="preserve">Текст</w:t>
      </w:r>
    </w:p>
    <w:p>
      <w:r>
        <w:t xml:space="preserve">где: x i – условие учета и числовое значение показателя субъективного критерия, w i – удельный вес показателя субъективного критерия x i</w:t>
      </w:r>
    </w:p>
    <w:p>
      <w:r>
        <w:t xml:space="preserve">|  | Приложение 2 к совместному приказу Министр национальной экономики Республики Казахстан от 6 июня 2023 года № 100 и Заместитель Премьер-Министра - Министр финансов Республики Казахстан от 5 июня 2023 года № 608 |</w:t>
      </w:r>
    </w:p>
    <w:p>
      <w:r>
        <w:t xml:space="preserve">|---|---|</w:t>
      </w:r>
    </w:p>
    <w:p>
      <w:r>
        <w:t xml:space="preserve">|  | Приложение 2 к совместному приказу Министра национальной экономики Республики Казахстан от 19 января 2022 года № 5 и Министра финансов Республики Казахстан от 19 января 2022 года № 54 |</w:t>
      </w:r>
    </w:p>
    <w:p>
      <w:pPr>
        <w:pStyle w:val="Heading2"/>
      </w:pPr>
      <w:r>
        <w:t xml:space="preserve">Глава Проверочный лист в области оценочной деятельности в отношении палат оценщиков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в соответствии со статьей 138 Предпринимательского кодекса ____________________________________________________________________ Республики Казахстан в отношении палат оценщиков ____________________________________________________________________ наименование однородной группы субъектов контроля ____________________________________________________________________ Государственный орган, назначивший проверку ____________________________________________________________________ Акт о назначении проверки/профилактического контроля с посещением субъекта контроля ____________________________________________________________________ ____________________________________________________________________ ____________________________________________________________________ дата и № Наименование субъекта контроля ____________________________________________________________________ ____________________________________________________________________ Бизнес-идентификационный номер субъекта контроля ____________________________________________________________________ ____________________________________________________________________ Адрес места нахождения ____________________________________________________________________ 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1. | Предоставление в уполномоченный орган в области оценочной деятельности достоверной информации о деятельности палаты оценщиков и деятельности своих членов по форме, установленной законодательством Республики Казахстан об оценочной деятельности, до 20 числа месяца, следующего за отчетным кварталом, с использованием информационной системы депозитария финансовой отчетности |  |  |</w:t>
      </w:r>
    </w:p>
    <w:p>
      <w:r>
        <w:t xml:space="preserve">| 2. | Размещение копии отчетов об оценке имущества, являющегося обеспечением при заключении ипотечного договора, а также при реализации заложенного имущества, в электронном формате "PDF (Portabe Dokument Format)" в информационной системе депозитария финансовой отчетности до 20 числа месяца, следующего за отчетным кварталом |  |  |</w:t>
      </w:r>
    </w:p>
    <w:p>
      <w:r>
        <w:t xml:space="preserve">| 3. | Наличие в составе палаты оценщиков не менее трехсот оценщиков |  |  |</w:t>
      </w:r>
    </w:p>
    <w:p>
      <w:r>
        <w:t xml:space="preserve">| 4. | Соблюдение требований о членстве оценщика только в одной палате оценщиков |  |  |</w:t>
      </w:r>
    </w:p>
    <w:p>
      <w:r>
        <w:t xml:space="preserve">| 5. | Установление палатой оценщиков мер по предотвращению или урегулированию конфликта интересов |  |  |</w:t>
      </w:r>
    </w:p>
    <w:p>
      <w:r>
        <w:t xml:space="preserve">| 6. | Наличие положения о членстве в палате оценщиков, утвержденного общим собранием членов палаты оценщиков |  |  |</w:t>
      </w:r>
    </w:p>
    <w:p>
      <w:r>
        <w:t xml:space="preserve">| 7. | Наличие Специализированных органов палаты оценщиков, положений о них и правил осуществления ими деятельности |  |  |</w:t>
      </w:r>
    </w:p>
    <w:p>
      <w:r>
        <w:t xml:space="preserve">| 8. | Наличие утвержденных общим собранием членов палаты оценщиков отчетов коллегиального и исполнительного органов, контрольного органа (ревизионной комиссии) и специализированных органов в порядке и сроки, установленные уставом палаты оценщиков |  |  |</w:t>
      </w:r>
    </w:p>
    <w:p>
      <w:r>
        <w:t xml:space="preserve">| 9. | Наличие кодекса деловой и профессиональной этики оценщиков |  |  |</w:t>
      </w:r>
    </w:p>
    <w:p>
      <w:r>
        <w:t xml:space="preserve">| 10. | Наличие Положения о деятельности Экспертного Совета палаты оценщиков, утвержденного общим собранием членов палаты оценщиков |  |  |</w:t>
      </w:r>
    </w:p>
    <w:p>
      <w:r>
        <w:t xml:space="preserve">| 11. | Наличие в составе Экспертного Совета палаты оценщиков не менее пяти экспертов |  |  |</w:t>
      </w:r>
    </w:p>
    <w:p>
      <w:r>
        <w:t xml:space="preserve">| 12. | Соблюдение сроков избрания членов Экспертного Совета палаты оценщиков |  |  |</w:t>
      </w:r>
    </w:p>
    <w:p>
      <w:r>
        <w:t xml:space="preserve">| 13. | Соблюдение требования о сроке пребывания эксперта на должности Председателя Экспертного Совета палаты оценщиков |  |  |</w:t>
      </w:r>
    </w:p>
    <w:p>
      <w:r>
        <w:t xml:space="preserve">| 14. | Соблюдение сроков проведения экспертизы отчета об оценке |  |  |</w:t>
      </w:r>
    </w:p>
    <w:p>
      <w:r>
        <w:t xml:space="preserve">| 15. | Соответствие документов, представляемых физическим лицом для вступления в члены палаты оценщиков, следующему списку: 1) заявление; 2) документ, удостоверяющий личность; 3) свидетельство о присвоении квалификации "оценщик"; 4) справка об отсутствии неснятой или непогашенной судимости за правонарушения в сфере экономической деятельности, а также за преступления средней тяжести, совершенные умышленно, тяжкие и особо тяжкие преступления; 5) иные документы, установленные палатой оценщиков |  |  |</w:t>
      </w:r>
    </w:p>
    <w:p>
      <w:r>
        <w:t xml:space="preserve">| 16. | Наличие информации о юридическом лице, с которым оценщик заключил трудовой договор, а также сведений о любых изменениях этой информации, предоставляемой оценщиком в течение десяти календарных дней с даты заключения трудового договора и (или) возникновения изменений |  |  |</w:t>
      </w:r>
    </w:p>
    <w:p>
      <w:r>
        <w:t xml:space="preserve">| 17. | Наличие информации, о подписанных в указанный период отчетах об оценке, с указанием даты составления отчета и его порядкового номера, объекта оценки, вида определенной стоимости, ежеквартально предоставляемой оценщиком |  |  |</w:t>
      </w:r>
    </w:p>
    <w:p>
      <w:r>
        <w:t xml:space="preserve">| 18. | Наличие согласованных с уполномоченным органом в области оценочной деятельности тестовых заданий для проведения квалификационного экзамена оценщиков, экспертов, разработанных палатой оценщиков |  |  |</w:t>
      </w:r>
    </w:p>
    <w:p>
      <w:r>
        <w:t xml:space="preserve">| 19. | Наличие правил выдачи свидетельств о присвоении квалификаций "оценщик", "эксперт" |  |  |</w:t>
      </w:r>
    </w:p>
    <w:p>
      <w:r>
        <w:t xml:space="preserve">| 20. | Наличие программы обучения, профессиональной переподготовки кандидатов в оценщики и соответствие типовой программе, включающей дисциплины в следующем объеме часов: по модулю "Общие дисциплины" – 30 часов: 1) правовое регулирование оценочной деятельности, стандарты оценки; 2) микро - и макроэкономические основы рыночного ценообразования; 3) основы бухгалтерского учета и аудита, налоги и налогообложение; 4) математические методы анализа в оценочной деятельности; по модулю "Блок специализаций для оценщиков": 1) оценка недвижимого имущества – 40 часов 2) оценка движимого имущества – 50 часов 3) оценка интеллектуальной собственности, стоимости нематериальных активов – 40 часов 4) оценка бизнеса и прав участия в бизнесе – 40 часов; по модулю "Специализация для эксперта" – законодательство в области оценочной деятельности Республики Казахстан, стандарты оценки – 20 часов. |  |  |</w:t>
      </w:r>
    </w:p>
    <w:p>
      <w:r>
        <w:t xml:space="preserve">| 21. | Наличие правил выдачи сертификатов о прохождении курсов повышения квалификации и переподготовки оценщиков и экспертов, утвержденных палатой оценщиков |  |  |</w:t>
      </w:r>
    </w:p>
    <w:p>
      <w:r>
        <w:t xml:space="preserve">| 22. | Наличие протокола о проведении заседания Квалификационной комиссии |  |  |</w:t>
      </w:r>
    </w:p>
    <w:p>
      <w:r>
        <w:t xml:space="preserve">| 23. | Наличие порядка организации, проведения проверок и рассмотрения обращений в отношении членов палаты оценщиков |  |  |</w:t>
      </w:r>
    </w:p>
    <w:p>
      <w:r>
        <w:t xml:space="preserve">| 24. | Наличие у палаты оценщиков интернет-ресурса |  |  |</w:t>
      </w:r>
    </w:p>
    <w:p>
      <w:r>
        <w:t xml:space="preserve">| 25. | Своевременное размещение на интернет-ресурсе палаты оценщиков ежеквартальной информации о своей деятельности и деятельности своих членов, предоставляемой в уполномоченный орган в области оценочной деятельности |  |  |</w:t>
      </w:r>
    </w:p>
    <w:p>
      <w:r>
        <w:t xml:space="preserve">| 26. | Размещение на интернет-ресурсе палаты оценщиков ежегодного отчета о поступлении и расходовании денег |  |  |</w:t>
      </w:r>
    </w:p>
    <w:p>
      <w:r>
        <w:t xml:space="preserve">| 27. | Размещение на интернет-ресурсе палаты оценщиков решений о присвоении квалификаций "оценщик", "эксперт" |  |  |</w:t>
      </w:r>
    </w:p>
    <w:p>
      <w:r>
        <w:t xml:space="preserve">| 28. | Ведение и размещение на интернет-ресурсе палаты оценщиков реестров членов палаты оценщиков, членов экспертного совета, а также своевременное внесение изменений (дополнений) в сведения |  |  |</w:t>
      </w:r>
    </w:p>
    <w:p>
      <w:r>
        <w:t xml:space="preserve">| 29. | Своевременное внесение в реестр членов экспертного совета информации с указанием даты и времени о прекращении действия свидетельства о присвоении квалификации "эксперт"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________________________________________ должность подпись ________________________________________________________________ фамилия, имя, отчество (при его наличии) Руководитель субъекта контроля ________________________________________________________________ должность подпись _________________________________________________________________ фамилия, имя, отчество (при его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