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сельского хозяйства Республики Казахстан от 24 декабря 2019 года № 457 "Об утверждении Правил субсидирования купонного вознаграждения по облигациям"</w:t>
      </w:r>
    </w:p>
    <w:p>
      <w:r>
        <w:t xml:space="preserve">Приказ, Изменения. Министерство сельского хозяйства Республики Казахстан. от 24.01.2023. № 178320. редакция от 24.01.2023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сельского хозяйства Республики Казахстан от 24 декабря 2019 года № 457 "Об утверждении Правил субсидирования купонного вознаграждения по облигациям" (зарегистрирован в Реестре государственной регистрации нормативных правовых актов № 19753)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41) пункта 1 статьи 6 Закона Республики Казахстан "О государственном регулировании развития агропромышленного комплекса и сельских территорий" и подпунктом 2) пункта 3 статьи 16 Закона Республики Казахстан "О государственной статистике" ПРИКАЗЫВАЮ: ";</w:t>
      </w:r>
    </w:p>
    <w:p>
      <w:r>
        <w:t xml:space="preserve">в Правилах субсидирования купонного вознаграждения по облигациям,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субсидирования купонного вознаграждения по облигациям (далее – Правила) разработаны в соответствии с подпунктом 41) пункта 1 статьи 6 Закона Республики Казахстан "О государственном регулировании развития агропромышленного комплекса и сельских территорий", подпунктом 2) пункта 3 статьи 16 Закона Республики Казахстан "О государственной статистике" и определяют порядок субсидирования купонного вознаграждения по облигациям за счет и в пределах средств, предусмотренных в республиканском бюджете на соответствующий финансовый год.";</w:t>
      </w:r>
    </w:p>
    <w:p>
      <w:r>
        <w:t xml:space="preserve">в пункте 2 :</w:t>
      </w:r>
    </w:p>
    <w:p>
      <w:r>
        <w:t xml:space="preserve">подпункты 1) и 2) изложить в следующей редакции:</w:t>
      </w:r>
    </w:p>
    <w:p>
      <w:r>
        <w:t xml:space="preserve">"1) уполномоченный орган в области развития агропромышленного комплекса (далее – рабочий орган) – государственный орган, осуществляющий государственное регулирование в области развития агропромышленного комплекса;</w:t>
      </w:r>
    </w:p>
    <w:p>
      <w:pPr>
        <w:pStyle w:val="Heading2"/>
      </w:pPr>
      <w:r>
        <w:t xml:space="preserve">Подпункт 2</w:t>
      </w:r>
    </w:p>
    <w:p>
      <w:r>
        <w:t xml:space="preserve">2) система реестров держателей ценных бумаг – совокупность сведений об эмитенте, эмиссионных ценных бумагах и их держателях, обеспечивающих идентификацию держателей прав по эмиссионным ценным бумагам на определенный момент времени, регистрацию сделок с ценными бумагами, а также характер зарегистрированных ограничений на обращение или осуществление прав по данным ценным бумагам, и иные сведения в соответствии с постановлением Правления Национального Банка Республики Казахстан от 29 октября 2018 года № 249 "Об утверждении Правил осуществления деятельности по ведению системы реестров держателей ценных бумаг" (зарегистрирован в Реестре государственной регистрации нормативных правововых актов № 17803);";</w:t>
      </w:r>
    </w:p>
    <w:p>
      <w:r>
        <w:t xml:space="preserve">подпункт 3) исключить;</w:t>
      </w:r>
    </w:p>
    <w:p>
      <w:r>
        <w:t xml:space="preserve">подпункт 5) изложить в следующей редакции:</w:t>
      </w:r>
    </w:p>
    <w:p>
      <w:r>
        <w:t xml:space="preserve">"5) фондовая биржа – юридическое лицо, созданное в организационно-правовой форме акционерного общества, не менее двадцати пяти процентов от общего количества голосующих акций которого принадлежат Национальному Банку Республики Казахстан, осуществляющее организационное и техническое обеспечение торгов путем их непосредственного проведения с использованием торговых систем данного организатора торгов;";</w:t>
      </w:r>
    </w:p>
    <w:p>
      <w:r>
        <w:t xml:space="preserve">подпункт 13) изложить в следующей редакции:</w:t>
      </w:r>
    </w:p>
    <w:p>
      <w:r>
        <w:t xml:space="preserve">"13) эмитент – лицо, осуществляющее выпуск эмиссионных ценных бумаг.";</w:t>
      </w:r>
    </w:p>
    <w:p>
      <w:r>
        <w:t xml:space="preserve">пункт 26 исключить;</w:t>
      </w:r>
    </w:p>
    <w:p>
      <w:pPr>
        <w:pStyle w:val="Heading2"/>
      </w:pPr>
      <w:r>
        <w:t xml:space="preserve">Приложение приложение 3 к указанным Правилам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финансовых инструментов и микрокредитования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сельского хозяйства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сельского хозяйства Республики Казахстан | Е. Карашукеев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Агентство по защите и развитию конкуренции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|  | Приложение к приказу Министр сельского хозяйства Республики Казахстан от 24 января 2023 года № 23 |</w:t>
      </w:r>
    </w:p>
    <w:p>
      <w:r>
        <w:t xml:space="preserve">|---|---|</w:t>
      </w:r>
    </w:p>
    <w:p>
      <w:r>
        <w:t xml:space="preserve">|  | Приложение 3 к Правилам субсидирования купонного вознаграждения по облигациям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Министерство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Форма административных данных размещена на интернет-ресурсе: www.gov.kz</w:t>
      </w:r>
    </w:p>
    <w:p>
      <w:pPr>
        <w:pStyle w:val="Heading2"/>
      </w:pPr>
      <w:r>
        <w:t xml:space="preserve">Глава Отчет о фактическом использовании субсидий по купонному вознаграждению по облигациям</w:t>
      </w:r>
    </w:p>
    <w:p>
      <w:pPr>
        <w:pStyle w:val="Heading2"/>
      </w:pPr>
      <w:r>
        <w:t xml:space="preserve">Текст</w:t>
      </w:r>
    </w:p>
    <w:p>
      <w:r>
        <w:t xml:space="preserve">Индекс формы административных данных: форма № ФИСКВ-1</w:t>
      </w:r>
    </w:p>
    <w:p>
      <w:pPr>
        <w:pStyle w:val="Heading2"/>
      </w:pPr>
      <w:r>
        <w:t xml:space="preserve">Текст</w:t>
      </w:r>
    </w:p>
    <w:p>
      <w:r>
        <w:t xml:space="preserve">Периодичность: ежегодно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20___ год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информацию: эмитент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 административных данных: до 1 (первого) декабря соответствующего года</w:t>
      </w:r>
    </w:p>
    <w:p>
      <w:r>
        <w:t xml:space="preserve">| Наименование эмитента | Бизнес-идентификационный номер | Проспект облигаций (международный идентификационный номер (национальный идентификационный номер)) | Сумма облигационного займа | Всего предусмотрено субсидий на весь срок обращения облигаций, тенге | Всего перечислено субсидий, тенге | Отклонение (+, -) (+) переплата, (-) недостаток, тенге | Возврат неиспользованных субсидий (факт), тенге | Остаток субсидий, находящийся на банковском счете, тенге |  |  |</w:t>
      </w:r>
    </w:p>
    <w:p>
      <w:r>
        <w:t xml:space="preserve">|---|---|---|---|---|---|---|---|---|---|---|</w:t>
      </w:r>
    </w:p>
    <w:p>
      <w:r>
        <w:t xml:space="preserve">| Всего | За отчетный период | Всего | За отчетный период |  |  |  |  |  |  |  |</w:t>
      </w:r>
    </w:p>
    <w:p>
      <w:r>
        <w:t xml:space="preserve">| 1 | 2 | 3 | 4 | 5 | 6 | 7 | 8 | 9 | 10 | 11 |</w:t>
      </w:r>
    </w:p>
    <w:p>
      <w:r>
        <w:t xml:space="preserve">| Итого: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или лицо, исполняющее его обязанности __________________________________________________________________ (фамилия, имя и отчество (при его наличии), подпись) Дата сдачи отчета "___" __________ 20 ___ года</w:t>
      </w:r>
    </w:p>
    <w:p>
      <w:r>
        <w:t xml:space="preserve">|  | Приложение к форме, предназначенной для сбора административных данных "Отчет о фактическом использовании субсидий по купонному вознаграждению по облигациям"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"Отчет о фактическом использовании субсидий по купонному вознаграждению по облигациям"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данных "Отчет о фактическом использовании субсидий по купонному вознаграждению по облигациям"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эмитентом.</w:t>
      </w:r>
    </w:p>
    <w:p>
      <w:pPr>
        <w:pStyle w:val="Heading2"/>
      </w:pPr>
      <w:r>
        <w:t xml:space="preserve">Пункт 3</w:t>
      </w:r>
    </w:p>
    <w:p>
      <w:r>
        <w:t xml:space="preserve">3. Форма подписывается руководителем, либо лицом, исполняющим его обязанности.</w:t>
      </w:r>
    </w:p>
    <w:p>
      <w:pPr>
        <w:pStyle w:val="Heading2"/>
      </w:pPr>
      <w:r>
        <w:t xml:space="preserve">Пункт 4</w:t>
      </w:r>
    </w:p>
    <w:p>
      <w:r>
        <w:t xml:space="preserve">4. Форма представляется эмитентом в Министерство сельского хозяйства Республики Казахстан ежегодно до 1 (первого) декабря соответствующего года.</w:t>
      </w:r>
    </w:p>
    <w:p>
      <w:pPr>
        <w:pStyle w:val="Heading2"/>
      </w:pPr>
      <w:r>
        <w:t xml:space="preserve">Пункт 5</w:t>
      </w:r>
    </w:p>
    <w:p>
      <w:r>
        <w:t xml:space="preserve">5. Форма заполняется на казахском или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6</w:t>
      </w:r>
    </w:p>
    <w:p>
      <w:r>
        <w:t xml:space="preserve">6. В графе 1 отчета указывается наименование эмитента.</w:t>
      </w:r>
    </w:p>
    <w:p>
      <w:pPr>
        <w:pStyle w:val="Heading2"/>
      </w:pPr>
      <w:r>
        <w:t xml:space="preserve">Пункт 7</w:t>
      </w:r>
    </w:p>
    <w:p>
      <w:r>
        <w:t xml:space="preserve">7. В графе 2 указывается бизнес-идентификационный номер.</w:t>
      </w:r>
    </w:p>
    <w:p>
      <w:pPr>
        <w:pStyle w:val="Heading2"/>
      </w:pPr>
      <w:r>
        <w:t xml:space="preserve">Пункт 8</w:t>
      </w:r>
    </w:p>
    <w:p>
      <w:r>
        <w:t xml:space="preserve">8. В графе 3 указывается проспект облигаций (международный идентификационный номер (национальный идентификационный номер)).</w:t>
      </w:r>
    </w:p>
    <w:p>
      <w:pPr>
        <w:pStyle w:val="Heading2"/>
      </w:pPr>
      <w:r>
        <w:t xml:space="preserve">Пункт 9</w:t>
      </w:r>
    </w:p>
    <w:p>
      <w:r>
        <w:t xml:space="preserve">9. В графе 4 указывается сумма облигационного займа.</w:t>
      </w:r>
    </w:p>
    <w:p>
      <w:pPr>
        <w:pStyle w:val="Heading2"/>
      </w:pPr>
      <w:r>
        <w:t xml:space="preserve">Пункт 10</w:t>
      </w:r>
    </w:p>
    <w:p>
      <w:r>
        <w:t xml:space="preserve">10. В графе 5 указывается субсидий на весь срок обращения облигаций, за весь период и за отчетный период, в тенге.</w:t>
      </w:r>
    </w:p>
    <w:p>
      <w:pPr>
        <w:pStyle w:val="Heading2"/>
      </w:pPr>
      <w:r>
        <w:t xml:space="preserve">Пункт 11</w:t>
      </w:r>
    </w:p>
    <w:p>
      <w:r>
        <w:t xml:space="preserve">11. В графах 6 и 7 указываются перечисленные субсидий за весь период и отчетный период, в тенге.</w:t>
      </w:r>
    </w:p>
    <w:p>
      <w:pPr>
        <w:pStyle w:val="Heading2"/>
      </w:pPr>
      <w:r>
        <w:t xml:space="preserve">Пункт 12</w:t>
      </w:r>
    </w:p>
    <w:p>
      <w:r>
        <w:t xml:space="preserve">12. В графах 8 и 9 указывается отклонение (переплата, недостаток) за весь период и за отчетный период, в тенге.</w:t>
      </w:r>
    </w:p>
    <w:p>
      <w:pPr>
        <w:pStyle w:val="Heading2"/>
      </w:pPr>
      <w:r>
        <w:t xml:space="preserve">Пункт 13</w:t>
      </w:r>
    </w:p>
    <w:p>
      <w:r>
        <w:t xml:space="preserve">13. В графе 10 указывается возврат неиспользованных субсидий (факт), в тенге.</w:t>
      </w:r>
    </w:p>
    <w:p>
      <w:pPr>
        <w:pStyle w:val="Heading2"/>
      </w:pPr>
      <w:r>
        <w:t xml:space="preserve">Пункт 14</w:t>
      </w:r>
    </w:p>
    <w:p>
      <w:r>
        <w:t xml:space="preserve">14. В графе 11 указывается остаток субсидий, находящийся на банковском счете, в тенге.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