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Бурабайского районного маслихата от 27 октября 2020 года № 6С-67/8 "Об определении специализированных мест для организации и проведения мирных собраний, порядка использования специализированных мест для организации и проведения мирных собраний, норм их предельной заполняемости, а также требований к материально-техническому и организационному обеспечению специализированных мест для организации и проведения мирных собраний, границ прилегающих территорий, в которых запрещено проведение пикетирования"</w:t>
      </w:r>
    </w:p>
    <w:p>
      <w:r>
        <w:t xml:space="preserve">Решение, Изменения. Маслихат Бурабайского района (старое название: Маслихат Щучинского района). от 13.09.2022. № 171775. редакция от 13.09.2022</w:t>
      </w:r>
    </w:p>
    <w:p>
      <w:pPr>
        <w:pStyle w:val="Heading2"/>
      </w:pPr>
      <w:r>
        <w:t xml:space="preserve">Текст</w:t>
      </w:r>
    </w:p>
    <w:p>
      <w:r>
        <w:t xml:space="preserve">Бурабайский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Бурабайского районного маслихата "Об определении специализированных мест для организации и проведения мирных собраний, порядка использования специализированных мест для организации и проведения мирных собраний, норм их предельной заполняемости, а также требований к материально-техническому и организационному обеспечению специализированных мест для организации и проведения мирных собраний, границ прилегающих территорий, в которых запрещено проведение пикетирования" от 27 октября 2020 года № 6С-67/8 (зарегистрировано в Реестре государственной регистрации нормативных правовых актов под № 8098) следующие изменения:</w:t>
      </w:r>
    </w:p>
    <w:p>
      <w:r>
        <w:t xml:space="preserve">заголовок указанного решения изложить в новой редакции:</w:t>
      </w:r>
    </w:p>
    <w:p>
      <w:r>
        <w:t xml:space="preserve">"О некоторых вопросах проведения мирных собраний";</w:t>
      </w:r>
    </w:p>
    <w:p>
      <w:r>
        <w:t xml:space="preserve">приложения 1 , 2 , 3 к указанному решению изложить в новой редакции согласно приложениям 1 , 2 , 3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Секретарь Бурабайского районного маслихата | М.Нурпанова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13 сентября 2022 года № 7С-27/1 |</w:t>
      </w:r>
    </w:p>
    <w:p>
      <w:r>
        <w:t xml:space="preserve">|---|---|</w:t>
      </w:r>
    </w:p>
    <w:p>
      <w:r>
        <w:t xml:space="preserve">|  | Приложение 1 к решению Бурабайского районного маслихата от 27 октября 2020 года № 6С-67/8 |</w:t>
      </w:r>
    </w:p>
    <w:p>
      <w:pPr>
        <w:pStyle w:val="Heading2"/>
      </w:pPr>
      <w:r>
        <w:t xml:space="preserve">Глава Специализированные места для организации и проведения мирных собраний</w:t>
      </w:r>
    </w:p>
    <w:p>
      <w:pPr>
        <w:pStyle w:val="Heading2"/>
      </w:pPr>
      <w:r>
        <w:t xml:space="preserve">Текст</w:t>
      </w:r>
    </w:p>
    <w:p>
      <w:r>
        <w:t xml:space="preserve">Специализированные места для организации и проведения мирных собраний в Бурабайском районе:</w:t>
      </w:r>
    </w:p>
    <w:p>
      <w:pPr>
        <w:pStyle w:val="Heading2"/>
      </w:pPr>
      <w:r>
        <w:t xml:space="preserve">Пункт 1</w:t>
      </w:r>
    </w:p>
    <w:p>
      <w:r>
        <w:t xml:space="preserve">1. Центральная городская площадь города Щучинска, расположенная по улице Абылайхана.</w:t>
      </w:r>
    </w:p>
    <w:p>
      <w:pPr>
        <w:pStyle w:val="Heading2"/>
      </w:pPr>
      <w:r>
        <w:t xml:space="preserve">Пункт 2</w:t>
      </w:r>
    </w:p>
    <w:p>
      <w:r>
        <w:t xml:space="preserve">2. Площадь города Щучинска, расположенная по улице Едомского.</w:t>
      </w:r>
    </w:p>
    <w:p>
      <w:pPr>
        <w:pStyle w:val="Heading2"/>
      </w:pPr>
      <w:r>
        <w:t xml:space="preserve">Пункт 3</w:t>
      </w:r>
    </w:p>
    <w:p>
      <w:r>
        <w:t xml:space="preserve">3. Маршрут следования для проведения мирных собраний в городе Щучинске: улица Абылайхана города Щучинска от пересечения с улицей Тургайская до пересечения с улицей Байтерек.</w:t>
      </w:r>
    </w:p>
    <w:p>
      <w:pPr>
        <w:pStyle w:val="Heading2"/>
      </w:pPr>
      <w:r>
        <w:t xml:space="preserve">Пункт 4</w:t>
      </w:r>
    </w:p>
    <w:p>
      <w:r>
        <w:t xml:space="preserve">4. Центральная площадь поселка Бурабай, расположенная по улице Кенесары.</w:t>
      </w:r>
    </w:p>
    <w:p>
      <w:pPr>
        <w:pStyle w:val="Heading2"/>
      </w:pPr>
      <w:r>
        <w:t xml:space="preserve">Пункт 5</w:t>
      </w:r>
    </w:p>
    <w:p>
      <w:r>
        <w:t xml:space="preserve">5. Маршрут следования для проведения мирных собраний в поселке Бурабай: с 4 линии до улицы Алимусиных.</w:t>
      </w:r>
    </w:p>
    <w:p>
      <w:pPr>
        <w:pStyle w:val="Heading2"/>
      </w:pPr>
      <w:r>
        <w:t xml:space="preserve">Пункт 6</w:t>
      </w:r>
    </w:p>
    <w:p>
      <w:r>
        <w:t xml:space="preserve">6. Центральная площадь села Кызылагаш, расположенная по улице Мектеп.</w:t>
      </w:r>
    </w:p>
    <w:p>
      <w:pPr>
        <w:pStyle w:val="Heading2"/>
      </w:pPr>
      <w:r>
        <w:t xml:space="preserve">Пункт 7</w:t>
      </w:r>
    </w:p>
    <w:p>
      <w:r>
        <w:t xml:space="preserve">7. Маршрут следования для проведения мирных собраний в Абылайханском сельском округе: с центральной площади села Кызылагаш по улице Мектеп до мечети.</w:t>
      </w:r>
    </w:p>
    <w:p>
      <w:pPr>
        <w:pStyle w:val="Heading2"/>
      </w:pPr>
      <w:r>
        <w:t xml:space="preserve">Пункт 8</w:t>
      </w:r>
    </w:p>
    <w:p>
      <w:r>
        <w:t xml:space="preserve">8. Центральная площадь села Веденовка, расположенная по улице Октябрьская.</w:t>
      </w:r>
    </w:p>
    <w:p>
      <w:pPr>
        <w:pStyle w:val="Heading2"/>
      </w:pPr>
      <w:r>
        <w:t xml:space="preserve">Пункт 9</w:t>
      </w:r>
    </w:p>
    <w:p>
      <w:r>
        <w:t xml:space="preserve">9. Маршрут следования для проведения мирных собраний в Веденовском сельском округе: с центральной площади села Веденовка до врачебной амбулатории по улице Октябрьская.</w:t>
      </w:r>
    </w:p>
    <w:p>
      <w:pPr>
        <w:pStyle w:val="Heading2"/>
      </w:pPr>
      <w:r>
        <w:t xml:space="preserve">Пункт 10</w:t>
      </w:r>
    </w:p>
    <w:p>
      <w:r>
        <w:t xml:space="preserve">10. Центральная площадь села Златополье, расположенная по улице Центральная.</w:t>
      </w:r>
    </w:p>
    <w:p>
      <w:pPr>
        <w:pStyle w:val="Heading2"/>
      </w:pPr>
      <w:r>
        <w:t xml:space="preserve">Пункт 11</w:t>
      </w:r>
    </w:p>
    <w:p>
      <w:r>
        <w:t xml:space="preserve">11. Маршрут следования для проведения мирных собраний в Златопольском сельском округе: с центральной площади села Златополье до отделения Акционерного общества "Казпочта" по улице Центральная.</w:t>
      </w:r>
    </w:p>
    <w:p>
      <w:pPr>
        <w:pStyle w:val="Heading2"/>
      </w:pPr>
      <w:r>
        <w:t xml:space="preserve">Пункт 12</w:t>
      </w:r>
    </w:p>
    <w:p>
      <w:r>
        <w:t xml:space="preserve">12. Площадь перед Домом культуры села Зеленый Бор, расположенная по улице Цоя.</w:t>
      </w:r>
    </w:p>
    <w:p>
      <w:pPr>
        <w:pStyle w:val="Heading2"/>
      </w:pPr>
      <w:r>
        <w:t xml:space="preserve">Пункт 13</w:t>
      </w:r>
    </w:p>
    <w:p>
      <w:r>
        <w:t xml:space="preserve">13. Маршрут следования для проведения мирных собраний в Зеленоборском сельском округе: с Дома культуры села Зеленый Бор до спортивного комплекса по улице Цоя.</w:t>
      </w:r>
    </w:p>
    <w:p>
      <w:pPr>
        <w:pStyle w:val="Heading2"/>
      </w:pPr>
      <w:r>
        <w:t xml:space="preserve">Пункт 14</w:t>
      </w:r>
    </w:p>
    <w:p>
      <w:r>
        <w:t xml:space="preserve">14. Центральная площадь села Катарколь, расположенная по улице Ленина.</w:t>
      </w:r>
    </w:p>
    <w:p>
      <w:pPr>
        <w:pStyle w:val="Heading2"/>
      </w:pPr>
      <w:r>
        <w:t xml:space="preserve">Пункт 15</w:t>
      </w:r>
    </w:p>
    <w:p>
      <w:r>
        <w:t xml:space="preserve">15. Маршрут следования для проведения мирных собраний в Катаркольском сельском округе: с центральной площади села Катарколь до магазина "Пингвин" по улице Ленина.</w:t>
      </w:r>
    </w:p>
    <w:p>
      <w:pPr>
        <w:pStyle w:val="Heading2"/>
      </w:pPr>
      <w:r>
        <w:t xml:space="preserve">Пункт 16</w:t>
      </w:r>
    </w:p>
    <w:p>
      <w:r>
        <w:t xml:space="preserve">16. Центральная площадь села Кенесары, расположенная по улице Ташенева.</w:t>
      </w:r>
    </w:p>
    <w:p>
      <w:pPr>
        <w:pStyle w:val="Heading2"/>
      </w:pPr>
      <w:r>
        <w:t xml:space="preserve">Пункт 17</w:t>
      </w:r>
    </w:p>
    <w:p>
      <w:r>
        <w:t xml:space="preserve">17. Маршрут следования для проведения мирных собраний в Кенесаринском сельском округе: с центральной площади села Кенесары до магазина "Дастархан" по улице Ташенева.</w:t>
      </w:r>
    </w:p>
    <w:p>
      <w:pPr>
        <w:pStyle w:val="Heading2"/>
      </w:pPr>
      <w:r>
        <w:t xml:space="preserve">Пункт 18</w:t>
      </w:r>
    </w:p>
    <w:p>
      <w:r>
        <w:t xml:space="preserve">18. Центральная площадь аула Атамекен, расположенная по улице Школьная.</w:t>
      </w:r>
    </w:p>
    <w:p>
      <w:pPr>
        <w:pStyle w:val="Heading2"/>
      </w:pPr>
      <w:r>
        <w:t xml:space="preserve">Пункт 19</w:t>
      </w:r>
    </w:p>
    <w:p>
      <w:r>
        <w:t xml:space="preserve">19. Маршрут следования для проведения мирных собраний в сельском округе Атамекен: с центральной площади аула Атамекен до врачебной амбулатории по улице Школьная.</w:t>
      </w:r>
    </w:p>
    <w:p>
      <w:pPr>
        <w:pStyle w:val="Heading2"/>
      </w:pPr>
      <w:r>
        <w:t xml:space="preserve">Пункт 20</w:t>
      </w:r>
    </w:p>
    <w:p>
      <w:r>
        <w:t xml:space="preserve">20. Центральная площадь села Урумкай, расположенная по улице Ленина.</w:t>
      </w:r>
    </w:p>
    <w:p>
      <w:pPr>
        <w:pStyle w:val="Heading2"/>
      </w:pPr>
      <w:r>
        <w:t xml:space="preserve">Пункт 21</w:t>
      </w:r>
    </w:p>
    <w:p>
      <w:r>
        <w:t xml:space="preserve">21. Маршрут следования для проведения мирных собраний в Урумкайском сельском округе: с центральной площади села Урумкай до магазина "Камилла" по улице Ленина.</w:t>
      </w:r>
    </w:p>
    <w:p>
      <w:pPr>
        <w:pStyle w:val="Heading2"/>
      </w:pPr>
      <w:r>
        <w:t xml:space="preserve">Пункт 22</w:t>
      </w:r>
    </w:p>
    <w:p>
      <w:r>
        <w:t xml:space="preserve">22. Центральная площадь села Успеноюрьевка, расположенная по улице Мира.</w:t>
      </w:r>
    </w:p>
    <w:p>
      <w:pPr>
        <w:pStyle w:val="Heading2"/>
      </w:pPr>
      <w:r>
        <w:t xml:space="preserve">Пункт 23</w:t>
      </w:r>
    </w:p>
    <w:p>
      <w:r>
        <w:t xml:space="preserve">23. Маршрут следования для проведения мирных собраний в Успеноюрьевском сельском округе: с центральной площади села Успеноюрьевка до средней школы по улице Мира.</w:t>
      </w:r>
    </w:p>
    <w:p>
      <w:r>
        <w:t xml:space="preserve">|  | Приложение 2 к решению Бурабайского районного маслихата от 13 сентября 2022 года № 7С-27/1 |</w:t>
      </w:r>
    </w:p>
    <w:p>
      <w:r>
        <w:t xml:space="preserve">|---|---|</w:t>
      </w:r>
    </w:p>
    <w:p>
      <w:r>
        <w:t xml:space="preserve">|  | Приложение 2 к решению Бурабайского районного маслихата от 27 октября 2020 года № 6С-67/8 |</w:t>
      </w:r>
    </w:p>
    <w:p>
      <w:pPr>
        <w:pStyle w:val="Heading2"/>
      </w:pPr>
      <w:r>
        <w:t xml:space="preserve">Глава Порядок использования специализированных мест для организации и проведения мирных собраний, нормы их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</w:t>
      </w:r>
    </w:p>
    <w:p>
      <w:pPr>
        <w:pStyle w:val="Heading2"/>
      </w:pPr>
      <w:r>
        <w:t xml:space="preserve">Пункт 1</w:t>
      </w:r>
    </w:p>
    <w:p>
      <w:r>
        <w:t xml:space="preserve">1. Настоящий порядок использования специализированных мест для организации и проведения мирных собраний, нормы их предельной заполняемости, а также требования к материально-техническому и организационному обеспечению специализированных мест для организации и проведения мирных собраний в Бурабайском районе разработан в соответствии с Законом Республики Казахстан "О порядке организации и проведения мирных собраний в Республике Казахстан" (далее – Закон).</w:t>
      </w:r>
    </w:p>
    <w:p>
      <w:pPr>
        <w:pStyle w:val="Heading2"/>
      </w:pPr>
      <w:r>
        <w:t xml:space="preserve">Пункт 2</w:t>
      </w:r>
    </w:p>
    <w:p>
      <w:r>
        <w:t xml:space="preserve">2. Специализированные места используются с соблюдением санитарных норм и правил пожарной безопасности. Допускается проведение мирных собраний в случае отсутствия информации о проведении в специализированных местах других запланированных официальных, культурных, зрелищных культурно-массовых, физкультурно-оздоровительных, спортивных и иных мероприятий, осуществлении строительно-монтажных работ.</w:t>
      </w:r>
    </w:p>
    <w:p>
      <w:pPr>
        <w:pStyle w:val="Heading2"/>
      </w:pPr>
      <w:r>
        <w:t xml:space="preserve">Пункт 3</w:t>
      </w:r>
    </w:p>
    <w:p>
      <w:r>
        <w:t xml:space="preserve">3. Материально-техническое и организационное обеспечение проведения мирных собраний осуществляется их организатором и участниками за счет собственных средств, а также за счет средств и имущества, собранных и (или) переданных для проведения данных мирных собраний, если Законом и иными законами Республики Казахстан не установлено иное.</w:t>
      </w:r>
    </w:p>
    <w:p>
      <w:pPr>
        <w:pStyle w:val="Heading2"/>
      </w:pPr>
      <w:r>
        <w:t xml:space="preserve">Пункт 4</w:t>
      </w:r>
    </w:p>
    <w:p>
      <w:r>
        <w:t xml:space="preserve">4. Нормы предельной заполняемости специализированных мест для организации и проведения мирных собраний в Бурабайском районе:</w:t>
      </w:r>
    </w:p>
    <w:p>
      <w:pPr>
        <w:pStyle w:val="Heading2"/>
      </w:pPr>
      <w:r>
        <w:t xml:space="preserve">Подпункт 1</w:t>
      </w:r>
    </w:p>
    <w:p>
      <w:r>
        <w:t xml:space="preserve">1) центральная городская площадь города Щучинска, расположенная по улице Абылайхана, норма предельной заполняемости 100 человек;</w:t>
      </w:r>
    </w:p>
    <w:p>
      <w:pPr>
        <w:pStyle w:val="Heading2"/>
      </w:pPr>
      <w:r>
        <w:t xml:space="preserve">Подпункт 2</w:t>
      </w:r>
    </w:p>
    <w:p>
      <w:r>
        <w:t xml:space="preserve">2) площадь города Щучинска, расположенная по улице Едомского, норма предельной заполняемости 30 человек;</w:t>
      </w:r>
    </w:p>
    <w:p>
      <w:pPr>
        <w:pStyle w:val="Heading2"/>
      </w:pPr>
      <w:r>
        <w:t xml:space="preserve">Подпункт 3</w:t>
      </w:r>
    </w:p>
    <w:p>
      <w:r>
        <w:t xml:space="preserve">3) маршрут следования для проведения мирных собраний в городе Щучинск: улица Абылайхана города Щучинска от пересечения с улицей Тургайская до пересечения с улицей Байтерек, норма предельной заполняемости 50 человек;</w:t>
      </w:r>
    </w:p>
    <w:p>
      <w:pPr>
        <w:pStyle w:val="Heading2"/>
      </w:pPr>
      <w:r>
        <w:t xml:space="preserve">Подпункт 4</w:t>
      </w:r>
    </w:p>
    <w:p>
      <w:r>
        <w:t xml:space="preserve">4) Центральная площадь поселка Бурабай, расположенная по улице Кенесары, норма предельной заполняемости 50 человек;</w:t>
      </w:r>
    </w:p>
    <w:p>
      <w:pPr>
        <w:pStyle w:val="Heading2"/>
      </w:pPr>
      <w:r>
        <w:t xml:space="preserve">Подпункт 5</w:t>
      </w:r>
    </w:p>
    <w:p>
      <w:r>
        <w:t xml:space="preserve">5) Маршрут следования для проведения мирных собраний в поселке Бурабай: с 4 линии до улицы Алимусиных, норма предельной заполняемости 30 человек;</w:t>
      </w:r>
    </w:p>
    <w:p>
      <w:pPr>
        <w:pStyle w:val="Heading2"/>
      </w:pPr>
      <w:r>
        <w:t xml:space="preserve">Подпункт 6</w:t>
      </w:r>
    </w:p>
    <w:p>
      <w:r>
        <w:t xml:space="preserve">6) Центральная площадь села Кызылагаш, расположенная по улице Мектеп, норма предельной заполняемости 50 человек;</w:t>
      </w:r>
    </w:p>
    <w:p>
      <w:pPr>
        <w:pStyle w:val="Heading2"/>
      </w:pPr>
      <w:r>
        <w:t xml:space="preserve">Подпункт 7</w:t>
      </w:r>
    </w:p>
    <w:p>
      <w:r>
        <w:t xml:space="preserve">7) Маршрут следования для проведения мирных собраний в Абылайханском сельский округе: с центральной площади села Кызылагаш по улице Мектеп до мечети, норма предельной заполняемости 30 человек;</w:t>
      </w:r>
    </w:p>
    <w:p>
      <w:pPr>
        <w:pStyle w:val="Heading2"/>
      </w:pPr>
      <w:r>
        <w:t xml:space="preserve">Подпункт 8</w:t>
      </w:r>
    </w:p>
    <w:p>
      <w:r>
        <w:t xml:space="preserve">8) Центральная площадь села Веденовка, расположенная по улице Октябрьская, норма предельной заполняемости 50 человек;</w:t>
      </w:r>
    </w:p>
    <w:p>
      <w:pPr>
        <w:pStyle w:val="Heading2"/>
      </w:pPr>
      <w:r>
        <w:t xml:space="preserve">Подпункт 9</w:t>
      </w:r>
    </w:p>
    <w:p>
      <w:r>
        <w:t xml:space="preserve">9) Маршрут следования для проведения мирных собраний в Веденовском сельском округе: с центральной площади села Веденовка до врачебной амбулатории по улице Октябрьской, норма предельной заполняемости 30 человек;</w:t>
      </w:r>
    </w:p>
    <w:p>
      <w:pPr>
        <w:pStyle w:val="Heading2"/>
      </w:pPr>
      <w:r>
        <w:t xml:space="preserve">Подпункт 10</w:t>
      </w:r>
    </w:p>
    <w:p>
      <w:r>
        <w:t xml:space="preserve">10) Центральная площадь села Златополье, расположенная по улице Центральная, норма предельной заполняемости 50 человек;</w:t>
      </w:r>
    </w:p>
    <w:p>
      <w:pPr>
        <w:pStyle w:val="Heading2"/>
      </w:pPr>
      <w:r>
        <w:t xml:space="preserve">Подпункт 11</w:t>
      </w:r>
    </w:p>
    <w:p>
      <w:r>
        <w:t xml:space="preserve">11) Маршрут следования для проведения мирных собраний в Златопольском сельском округе: с центральной площади села Златополье до отделения Акционерного общества "Казпочта" по улице Центральная, норма предельной заполняемости 30 человек;</w:t>
      </w:r>
    </w:p>
    <w:p>
      <w:pPr>
        <w:pStyle w:val="Heading2"/>
      </w:pPr>
      <w:r>
        <w:t xml:space="preserve">Подпункт 12</w:t>
      </w:r>
    </w:p>
    <w:p>
      <w:r>
        <w:t xml:space="preserve">12) Площадь перед Домом культуры села Зеленый Бор, расположенная по улице Цоя, норма предельной заполняемости 50 человек;</w:t>
      </w:r>
    </w:p>
    <w:p>
      <w:pPr>
        <w:pStyle w:val="Heading2"/>
      </w:pPr>
      <w:r>
        <w:t xml:space="preserve">Подпункт 13</w:t>
      </w:r>
    </w:p>
    <w:p>
      <w:r>
        <w:t xml:space="preserve">13) Маршрут следования для проведения мирных собраний в Зеленоборском сельском округе: с Дома культуры села Зеленый Бор до спортивного комплекса по улице Цоя, норма предельной заполняемости 30 человек;</w:t>
      </w:r>
    </w:p>
    <w:p>
      <w:pPr>
        <w:pStyle w:val="Heading2"/>
      </w:pPr>
      <w:r>
        <w:t xml:space="preserve">Подпункт 14</w:t>
      </w:r>
    </w:p>
    <w:p>
      <w:r>
        <w:t xml:space="preserve">14) Центральная площадь села Катарколь, расположенная по улице Ленина, норма предельной заполняемости 50 человек;</w:t>
      </w:r>
    </w:p>
    <w:p>
      <w:pPr>
        <w:pStyle w:val="Heading2"/>
      </w:pPr>
      <w:r>
        <w:t xml:space="preserve">Подпункт 15</w:t>
      </w:r>
    </w:p>
    <w:p>
      <w:r>
        <w:t xml:space="preserve">15) Маршрут следования для проведения мирных собраний в Катаркольском сельском округе: с центральной площади села Катарколь до магазина "Пингвин" по улице Ленина, норма предельной заполняемости 30 человек;</w:t>
      </w:r>
    </w:p>
    <w:p>
      <w:pPr>
        <w:pStyle w:val="Heading2"/>
      </w:pPr>
      <w:r>
        <w:t xml:space="preserve">Подпункт 16</w:t>
      </w:r>
    </w:p>
    <w:p>
      <w:r>
        <w:t xml:space="preserve">16) Центральная площадь села Кенесары, расположенная по улице Ташенева, норма предельной заполняемости 50 человек;</w:t>
      </w:r>
    </w:p>
    <w:p>
      <w:pPr>
        <w:pStyle w:val="Heading2"/>
      </w:pPr>
      <w:r>
        <w:t xml:space="preserve">Подпункт 17</w:t>
      </w:r>
    </w:p>
    <w:p>
      <w:r>
        <w:t xml:space="preserve">17) Маршрут следования для проведения мирных собраний в Кенесаринском сельском округе: с центральной площади села Кенесары до магазина "Дастархан" по улице Ташенева, норма предельной заполняемости 30 человек;</w:t>
      </w:r>
    </w:p>
    <w:p>
      <w:pPr>
        <w:pStyle w:val="Heading2"/>
      </w:pPr>
      <w:r>
        <w:t xml:space="preserve">Подпункт 18</w:t>
      </w:r>
    </w:p>
    <w:p>
      <w:r>
        <w:t xml:space="preserve">18) Центральная площадь аула Атамекен, расположенная по улице Школьная, норма предельной заполняемости 50 человек;</w:t>
      </w:r>
    </w:p>
    <w:p>
      <w:pPr>
        <w:pStyle w:val="Heading2"/>
      </w:pPr>
      <w:r>
        <w:t xml:space="preserve">Подпункт 19</w:t>
      </w:r>
    </w:p>
    <w:p>
      <w:r>
        <w:t xml:space="preserve">19) Маршрут следования для проведения мирных собраний в сельском округе Атамекен: с центральной площади аула Атамекен до врачебной амбулатории по улице Школьная, норма предельной заполняемости 30 человек;</w:t>
      </w:r>
    </w:p>
    <w:p>
      <w:pPr>
        <w:pStyle w:val="Heading2"/>
      </w:pPr>
      <w:r>
        <w:t xml:space="preserve">Подпункт 20</w:t>
      </w:r>
    </w:p>
    <w:p>
      <w:r>
        <w:t xml:space="preserve">20) Центральная площадь села Урумкай, расположенная по улице Ленина, норма предельной заполняемости 50 человек;</w:t>
      </w:r>
    </w:p>
    <w:p>
      <w:pPr>
        <w:pStyle w:val="Heading2"/>
      </w:pPr>
      <w:r>
        <w:t xml:space="preserve">Подпункт 21</w:t>
      </w:r>
    </w:p>
    <w:p>
      <w:r>
        <w:t xml:space="preserve">21) Маршрут следования для проведения мирных собраний в Урумкайском сельском округе: с центральной площади села Урумкай до магазина "Камилла" по улице Ленина, норма предельной заполняемости 30 человек;</w:t>
      </w:r>
    </w:p>
    <w:p>
      <w:pPr>
        <w:pStyle w:val="Heading2"/>
      </w:pPr>
      <w:r>
        <w:t xml:space="preserve">Подпункт 22</w:t>
      </w:r>
    </w:p>
    <w:p>
      <w:r>
        <w:t xml:space="preserve">22) Центральная площадь села Успеноюрьевка, расположенная по улице Мира, норма предельной заполняемости 50 человек;</w:t>
      </w:r>
    </w:p>
    <w:p>
      <w:pPr>
        <w:pStyle w:val="Heading2"/>
      </w:pPr>
      <w:r>
        <w:t xml:space="preserve">Подпункт 23</w:t>
      </w:r>
    </w:p>
    <w:p>
      <w:r>
        <w:t xml:space="preserve">23) Маршрут следования для проведения мирных собраний в Успеноюрьевском сельском округе: с центральной площади села Успеноюрьевка до средней школы по улице Мира, норма предельной заполняемости 30 человек.</w:t>
      </w:r>
    </w:p>
    <w:p>
      <w:pPr>
        <w:pStyle w:val="Heading2"/>
      </w:pPr>
      <w:r>
        <w:t xml:space="preserve">Пункт 5</w:t>
      </w:r>
    </w:p>
    <w:p>
      <w:r>
        <w:t xml:space="preserve">5. Не допускается установление юрт, палаток, иных сооружений в специализированных местах для организации и проведения мирных собраний без согласия местного исполнительного органа.</w:t>
      </w:r>
    </w:p>
    <w:p>
      <w:pPr>
        <w:pStyle w:val="Heading2"/>
      </w:pPr>
      <w:r>
        <w:t xml:space="preserve">Пункт 6</w:t>
      </w:r>
    </w:p>
    <w:p>
      <w:r>
        <w:t xml:space="preserve">6. В случае, если на проведение мирного собрания в одном и том же месте и (или) по одному и тому же маршруту следования либо в одно и то же время одновременно претендует несколько организаторов мирных собраний, очередность использования указанного места определяется местным исполнительным органом исходя из времени получения им соответствующего уведомления или заявления от организатора мирных собраний.</w:t>
      </w:r>
    </w:p>
    <w:p>
      <w:pPr>
        <w:pStyle w:val="Heading2"/>
      </w:pPr>
      <w:r>
        <w:t xml:space="preserve">Пункт 7</w:t>
      </w:r>
    </w:p>
    <w:p>
      <w:r>
        <w:t xml:space="preserve">7. Минимальное допустимое расстояние между лицами, принимающими участие в мирном собрании, кроме пикетирования, составляет не менее 2 метров, в целях сохранения социальной дистанции.</w:t>
      </w:r>
    </w:p>
    <w:p>
      <w:pPr>
        <w:pStyle w:val="Heading2"/>
      </w:pPr>
      <w:r>
        <w:t xml:space="preserve">Пункт 8</w:t>
      </w:r>
    </w:p>
    <w:p>
      <w:r>
        <w:t xml:space="preserve">8. Минимальное допустимое расстояние между лицами, осуществляющими пикетирование, проводимое одним участником, составляет не менее 100 метров.</w:t>
      </w:r>
    </w:p>
    <w:p>
      <w:pPr>
        <w:pStyle w:val="Heading2"/>
      </w:pPr>
      <w:r>
        <w:t xml:space="preserve">Пункт 9</w:t>
      </w:r>
    </w:p>
    <w:p>
      <w:r>
        <w:t xml:space="preserve">9. Мирные собрания не могут начинаться ранее 9 часов и заканчиваться позднее 20 часов по местному времени Бурабайского района в день проведения мирных собраний.</w:t>
      </w:r>
    </w:p>
    <w:p>
      <w:r>
        <w:t xml:space="preserve">|  | Приложение 3 к решению Бурабайского районного маслихата от 13 сентября 2022 года № 7С-27/1 |</w:t>
      </w:r>
    </w:p>
    <w:p>
      <w:r>
        <w:t xml:space="preserve">|---|---|</w:t>
      </w:r>
    </w:p>
    <w:p>
      <w:r>
        <w:t xml:space="preserve">|  | Приложение 3 к решению Бурабайского районного маслихата от 27 октября 2020 года № 6С-67/8 |</w:t>
      </w:r>
    </w:p>
    <w:p>
      <w:pPr>
        <w:pStyle w:val="Heading2"/>
      </w:pPr>
      <w:r>
        <w:t xml:space="preserve">Глава Границы прилегающих территорий, в которых не допускается проведение пикетирования</w:t>
      </w:r>
    </w:p>
    <w:p>
      <w:pPr>
        <w:pStyle w:val="Heading2"/>
      </w:pPr>
      <w:r>
        <w:t xml:space="preserve">Текст</w:t>
      </w:r>
    </w:p>
    <w:p>
      <w:r>
        <w:t xml:space="preserve">На территории Бурабайского района не допускается проведение пикетирования ближе 400 метров от границы прилегающих территорий:</w:t>
      </w:r>
    </w:p>
    <w:p>
      <w:pPr>
        <w:pStyle w:val="Heading2"/>
      </w:pPr>
      <w:r>
        <w:t xml:space="preserve">Подпункт 1</w:t>
      </w:r>
    </w:p>
    <w:p>
      <w:r>
        <w:t xml:space="preserve">1) в местах массовых захоронений;</w:t>
      </w:r>
    </w:p>
    <w:p>
      <w:pPr>
        <w:pStyle w:val="Heading2"/>
      </w:pPr>
      <w:r>
        <w:t xml:space="preserve">Подпункт 2</w:t>
      </w:r>
    </w:p>
    <w:p>
      <w:r>
        <w:t xml:space="preserve">2) на объектах железнодорожного, водного, воздушного и автомобильного транспорта и прилегающих к ним территориях;</w:t>
      </w:r>
    </w:p>
    <w:p>
      <w:pPr>
        <w:pStyle w:val="Heading2"/>
      </w:pPr>
      <w:r>
        <w:t xml:space="preserve">Подпункт 3</w:t>
      </w:r>
    </w:p>
    <w:p>
      <w:r>
        <w:t xml:space="preserve">3) на территориях, прилегающих к организациям, обеспечивающим обороноспособность, безопасность государства и жизнедеятельность населения;</w:t>
      </w:r>
    </w:p>
    <w:p>
      <w:pPr>
        <w:pStyle w:val="Heading2"/>
      </w:pPr>
      <w:r>
        <w:t xml:space="preserve">Подпункт 4</w:t>
      </w:r>
    </w:p>
    <w:p>
      <w:r>
        <w:t xml:space="preserve">4) на территориях, прилегающих к опасным производственным объектам и иным объектам, эксплуатация которых требует соблюдения специальных правил техники безопасности;</w:t>
      </w:r>
    </w:p>
    <w:p>
      <w:pPr>
        <w:pStyle w:val="Heading2"/>
      </w:pPr>
      <w:r>
        <w:t xml:space="preserve">Подпункт 5</w:t>
      </w:r>
    </w:p>
    <w:p>
      <w:r>
        <w:t xml:space="preserve">5) на магистральных железнодорожных сетях, магистральных трубопроводах, национальной электрической сети, магистральных линиях связи и прилегающих к ним территориях.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