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оборонной и аэрокосмической промышленности Республики Казахстан от 13 марта 2018 года № 38/НҚ "Об утверждении Правил регистрации, пользования и распределения доменных имен в пространстве казахстанского сегмента Интернета"</w:t>
      </w:r>
    </w:p>
    <w:p>
      <w:r>
        <w:t xml:space="preserve">Приказ, Изменения, Дополнения. Министерство цифрового развития, инноваций и аэрокосмической промышленности Республики Казахстан (реорганизовано Указом Президента РК от 18.09.2025 г. № 997 путем его преобразования в Министерству искусственного интеллекта и цифрового развития РК с передачей функций и полномочий по инновационной деятельности в Министерство науки и высшего образования РК). от 20.09.2022. № 172217. редакция от 20.09.2022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оборонной и аэрокосмической промышленности Республики Казахстан от 13 марта 2018 года № 38/НҚ "Об утверждении Правил регистрации, пользования и распределения доменных имен в пространстве казахстанского сегмента Интернета" (зарегистрирован в Реестре государственной регистрации нормативных правовых актов за № 16654) следующие изменения и дополнения:</w:t>
      </w:r>
    </w:p>
    <w:p>
      <w:r>
        <w:t xml:space="preserve">в Правилах регистрации, пользования и распределения доменных имен в пространстве казахстанского сегмента Интернета, утвержденных указанным приказом:</w:t>
      </w:r>
    </w:p>
    <w:p>
      <w:r>
        <w:t xml:space="preserve">пункты 2 и 3 изложить в следующей редакции:</w:t>
      </w:r>
    </w:p>
    <w:p>
      <w:r>
        <w:t xml:space="preserve">"2. В настоящих Правилах используются следующие основные понятия и сокращения:</w:t>
      </w:r>
    </w:p>
    <w:p>
      <w:pPr>
        <w:pStyle w:val="Heading2"/>
      </w:pPr>
      <w:r>
        <w:t xml:space="preserve">Подпункт 1</w:t>
      </w:r>
    </w:p>
    <w:p>
      <w:r>
        <w:t xml:space="preserve">1) уполномоченный орган в сфере обеспечения информационной безопасности (далее – уполномоченный орган) – центральный исполнительный орган, осуществляющий руководство и межотраслевую координацию в сфере обеспечения информационной безопасности;</w:t>
      </w:r>
    </w:p>
    <w:p>
      <w:pPr>
        <w:pStyle w:val="Heading2"/>
      </w:pPr>
      <w:r>
        <w:t xml:space="preserve">Подпункт 2</w:t>
      </w:r>
    </w:p>
    <w:p>
      <w:r>
        <w:t xml:space="preserve">2) доменное имя – символьное (буквенно-цифровое) обозначение, сформированное в соответствии с правилами адресации Интернета, соответствующее определенному сетевому адресу и предназначенное для поименованного обращения к объекту Интернета;</w:t>
      </w:r>
    </w:p>
    <w:p>
      <w:pPr>
        <w:pStyle w:val="Heading2"/>
      </w:pPr>
      <w:r>
        <w:t xml:space="preserve">Подпункт 3</w:t>
      </w:r>
    </w:p>
    <w:p>
      <w:r>
        <w:t xml:space="preserve">3) система доменных имен (Domain Name System, далее – DNS) – распределенная база данных для получения информации о доменных именах. Содержит информацию о соответствии доменных имен и Internet Protocol (IP) адресов и работает в соответствии со стандартами Request for Comments (далее – RFC) - 1032, 1034, 1035, 1122, 1133, 1591;</w:t>
      </w:r>
    </w:p>
    <w:p>
      <w:pPr>
        <w:pStyle w:val="Heading2"/>
      </w:pPr>
      <w:r>
        <w:t xml:space="preserve">Подпункт 4</w:t>
      </w:r>
    </w:p>
    <w:p>
      <w:r>
        <w:t xml:space="preserve">4) регистрант доменных имен (далее – регистрант) – физическое или юридическое лицо, направившее регистратору доменных имен в пространстве казахстанского сегмента Интернета заявку регистранта для регистрации доменных имен в пространстве казахстанского сегмента Интернета и являющееся его владельцем на период регистрации доменных имен в пространстве казахстанского сегмента Интернета;</w:t>
      </w:r>
    </w:p>
    <w:p>
      <w:pPr>
        <w:pStyle w:val="Heading2"/>
      </w:pPr>
      <w:r>
        <w:t xml:space="preserve">Подпункт 5</w:t>
      </w:r>
    </w:p>
    <w:p>
      <w:r>
        <w:t xml:space="preserve">5) пространство казахстанского сегмента Интернета – совокупность интернет-ресурсов, размещаемых на аппаратно-программных комплексах, расположенных на территории Республики Казахстан;</w:t>
      </w:r>
    </w:p>
    <w:p>
      <w:pPr>
        <w:pStyle w:val="Heading2"/>
      </w:pPr>
      <w:r>
        <w:t xml:space="preserve">Подпункт 6</w:t>
      </w:r>
    </w:p>
    <w:p>
      <w:r>
        <w:t xml:space="preserve">6) администратор доменных имен в доменном пространстве казахстанского сегмента Интернета (далее – администратор) – некоммерческая общественная организация, определенная уполномоченным органом в соответствии с Законом Республики Казахстан "Об информатизации", осуществляющая развитие доменного пространства казахстанского сегмента Интернета;</w:t>
      </w:r>
    </w:p>
    <w:p>
      <w:pPr>
        <w:pStyle w:val="Heading2"/>
      </w:pPr>
      <w:r>
        <w:t xml:space="preserve">Подпункт 7</w:t>
      </w:r>
    </w:p>
    <w:p>
      <w:r>
        <w:t xml:space="preserve">7) доменное имя первого уровня в пространстве казахстанского сегмента Интернета (далее – доменное имя первого уровня) – доменное имя. KZ и (или) .ҚАЗ, выделенное международной организацией ICANN для использования в интересах Республики Казахстан, находящееся в иерархии доменного пространства казахстанского сегмента Интернета на ступень ниже корневого доменного имени и являющееся непосредственным прямым поддоменом корневого доменного имени (RFC-882);</w:t>
      </w:r>
    </w:p>
    <w:p>
      <w:pPr>
        <w:pStyle w:val="Heading2"/>
      </w:pPr>
      <w:r>
        <w:t xml:space="preserve">Подпункт 8</w:t>
      </w:r>
    </w:p>
    <w:p>
      <w:r>
        <w:t xml:space="preserve">8) доменное имя второго уровня в пространстве казахстанского сегмента Интернета (далее – доменное имя второго уровня) – доменное имя, находящееся в иерархии доменного пространства казахстанского сегмента Интернета на ступень ниже доменного имени первого уровня и являющийся непосредственным (прямым) поддоменом доменного имени первого уровня (RFC-882);</w:t>
      </w:r>
    </w:p>
    <w:p>
      <w:pPr>
        <w:pStyle w:val="Heading2"/>
      </w:pPr>
      <w:r>
        <w:t xml:space="preserve">Подпункт 9</w:t>
      </w:r>
    </w:p>
    <w:p>
      <w:r>
        <w:t xml:space="preserve">9) реестр доменных имен в пространстве казахстанского сегмента Интернета (далее – реестр) – централизованная совокупность баз данных всех зарегистрированных доменных имен в пространстве казахстанского сегмента Интернета, содержащая все сведения о зарегистрированных доменных именах;</w:t>
      </w:r>
    </w:p>
    <w:p>
      <w:pPr>
        <w:pStyle w:val="Heading2"/>
      </w:pPr>
      <w:r>
        <w:t xml:space="preserve">Подпункт 10</w:t>
      </w:r>
    </w:p>
    <w:p>
      <w:r>
        <w:t xml:space="preserve">10) регистратура доменных имен в пространстве казахстанского сегмента Интернета (далее – регистратура) – юридическое лицо, осуществляющее ведение реестра и поддерживающее стабильную работу казахстанского доменного имени первого уровня;</w:t>
      </w:r>
    </w:p>
    <w:p>
      <w:pPr>
        <w:pStyle w:val="Heading2"/>
      </w:pPr>
      <w:r>
        <w:t xml:space="preserve">Подпункт 11</w:t>
      </w:r>
    </w:p>
    <w:p>
      <w:r>
        <w:t xml:space="preserve">11) регистратор доменных имен в пространстве казахстанского сегмента Интернета (далее – регистратор) – юридическое лицо, резидент Республики Казахстан, аккредитованное администратором для оказания услуги по регистрации доменных имен, внесению в реестр информации о доменном имени, и его удалению, а также изменению сведений, вносимых в реестр обеспечению права регистранта по использованию доменного имени на основании соглашений с регистратурой и регистрантом (далее – услуга). Нерезиденты Республики Казахстан вправе получить аккредитацию администратора национальных доменных имен только при условии наличия аккредитации ICANN в качестве Регистратора;</w:t>
      </w:r>
    </w:p>
    <w:p>
      <w:pPr>
        <w:pStyle w:val="Heading2"/>
      </w:pPr>
      <w:r>
        <w:t xml:space="preserve">Подпункт 12</w:t>
      </w:r>
    </w:p>
    <w:p>
      <w:r>
        <w:t xml:space="preserve">12) доменное имя третьего уровня в пространстве казахстанского сегмента Интернета (далее – доменное имя третьего уровня) – доменное имя, находящееся в иерархии доменного пространства казахстанского сегмента Интернета на ступень ниже доменного имени второго уровня и являющееся непосредственным (прямым) поддоменом доменного имени второго уровня (RFC-882);</w:t>
      </w:r>
    </w:p>
    <w:p>
      <w:pPr>
        <w:pStyle w:val="Heading2"/>
      </w:pPr>
      <w:r>
        <w:t xml:space="preserve">Подпункт 13</w:t>
      </w:r>
    </w:p>
    <w:p>
      <w:r>
        <w:t xml:space="preserve">13) резервная копия интернет-ресурса – резервный набор данных интернет-ресурса, применяемый при выходе из строя основного интернет-ресурса;</w:t>
      </w:r>
    </w:p>
    <w:p>
      <w:pPr>
        <w:pStyle w:val="Heading2"/>
      </w:pPr>
      <w:r>
        <w:t xml:space="preserve">Подпункт 14</w:t>
      </w:r>
    </w:p>
    <w:p>
      <w:r>
        <w:t xml:space="preserve">14) корневое доменное имя – доменное имя, обозначаемое точкой ".", функционирующее в Интернете на основе RFC-882;</w:t>
      </w:r>
    </w:p>
    <w:p>
      <w:pPr>
        <w:pStyle w:val="Heading2"/>
      </w:pPr>
      <w:r>
        <w:t xml:space="preserve">Подпункт 15</w:t>
      </w:r>
    </w:p>
    <w:p>
      <w:r>
        <w:t xml:space="preserve">15) отечественный сертификат безопасности – набор электронных цифровых символов, применяемый для пропуска трафика, содержащего протоколы, поддерживающие шифрование, выданный отечественным удостоверяющим центром;</w:t>
      </w:r>
    </w:p>
    <w:p>
      <w:pPr>
        <w:pStyle w:val="Heading2"/>
      </w:pPr>
      <w:r>
        <w:t xml:space="preserve">Подпункт 16</w:t>
      </w:r>
    </w:p>
    <w:p>
      <w:r>
        <w:t xml:space="preserve">16) заявка – обращение регистранта к регистратору, содержащее все сведения для регистрации доменных имен в пространстве казахстанского сегмента Интернета (продление срока действия регистрации), изменения ранее сообщенных сведений, передачи, трансфера либо отмены существующей регистрации доменного имени;</w:t>
      </w:r>
    </w:p>
    <w:p>
      <w:pPr>
        <w:pStyle w:val="Heading2"/>
      </w:pPr>
      <w:r>
        <w:t xml:space="preserve">Подпункт 17</w:t>
      </w:r>
    </w:p>
    <w:p>
      <w:r>
        <w:t xml:space="preserve">17) зарезервированные доменные имена – доменные имена для государственных нужд, соответствующие сокращенным наименованиям, установленных настоящими Правилами;</w:t>
      </w:r>
    </w:p>
    <w:p>
      <w:pPr>
        <w:pStyle w:val="Heading2"/>
      </w:pPr>
      <w:r>
        <w:t xml:space="preserve">Подпункт 18</w:t>
      </w:r>
    </w:p>
    <w:p>
      <w:r>
        <w:t xml:space="preserve">18) фишинг – совокупность методов, направленных на неправомерное получение учетных или конфиденциальных данных пользователя Интернета;</w:t>
      </w:r>
    </w:p>
    <w:p>
      <w:pPr>
        <w:pStyle w:val="Heading2"/>
      </w:pPr>
      <w:r>
        <w:t xml:space="preserve">Подпункт 19</w:t>
      </w:r>
    </w:p>
    <w:p>
      <w:r>
        <w:t xml:space="preserve">19) иностранный сертификат безопасности – набор электронных цифровых символов, применяемый для пропуска трафика, содержащего протоколы, поддерживающие шифрование, выданный иностранным удостоверяющим центром;</w:t>
      </w:r>
    </w:p>
    <w:p>
      <w:pPr>
        <w:pStyle w:val="Heading2"/>
      </w:pPr>
      <w:r>
        <w:t xml:space="preserve">Подпункт 20</w:t>
      </w:r>
    </w:p>
    <w:p>
      <w:r>
        <w:t xml:space="preserve">20) DNS-сервер – специализированное программное обеспечение для обслуживания системы доменных имен, а также оборудование, на котором программное обеспечение выполняется;</w:t>
      </w:r>
    </w:p>
    <w:p>
      <w:pPr>
        <w:pStyle w:val="Heading2"/>
      </w:pPr>
      <w:r>
        <w:t xml:space="preserve">Подпункт 21</w:t>
      </w:r>
    </w:p>
    <w:p>
      <w:r>
        <w:t xml:space="preserve">21) RFC – документ, определяющий технические и организационные условия функционирования Интернета и принимаемый общественными организациями Internet Engineering Task Force и Internet Engineering Steering Group;</w:t>
      </w:r>
    </w:p>
    <w:p>
      <w:pPr>
        <w:pStyle w:val="Heading2"/>
      </w:pPr>
      <w:r>
        <w:t xml:space="preserve">Подпункт 22</w:t>
      </w:r>
    </w:p>
    <w:p>
      <w:r>
        <w:t xml:space="preserve">22) WHOIS-сервер – специализированное программное обеспечение, предназначенное для получения сведений о зарегистрированных доменных именах, работающее в соответствии с RFC-3912, а также оборудование, на котором программное обеспечение выполняется.</w:t>
      </w:r>
    </w:p>
    <w:p>
      <w:pPr>
        <w:pStyle w:val="Heading2"/>
      </w:pPr>
      <w:r>
        <w:t xml:space="preserve">Пункт 3</w:t>
      </w:r>
    </w:p>
    <w:p>
      <w:r>
        <w:t xml:space="preserve">3. Для регистрации доменного имени регистрант предоставляет регистратору заявку регистранта по форме согласно приложению к настоящим Правилам с достоверной и полной информацией в электронном или бумажном виде (далее – заявка).";</w:t>
      </w:r>
    </w:p>
    <w:p>
      <w:r>
        <w:t xml:space="preserve">пункт 9 изложить в следующей редакции:</w:t>
      </w:r>
    </w:p>
    <w:p>
      <w:r>
        <w:t xml:space="preserve">"9. Регистрант информирует регистратора обо всех изменениях сведений о физическом лице или юридическом лице, указанных в соглашении, не позднее 10 (десяти) рабочих дней с момента таких изменений. Сведения о физическом лице, указанные в соглашении, являются конфиденциальными и могут быть выданы третьему лицу только в случаях и порядке, предусмотренных законодательством.";</w:t>
      </w:r>
    </w:p>
    <w:p>
      <w:r>
        <w:t xml:space="preserve">пункт 14 изложить в следующей редакции:</w:t>
      </w:r>
    </w:p>
    <w:p>
      <w:r>
        <w:t xml:space="preserve">"14. Регистратор в течение 3 (трех) рабочих дней с даты прекращения использования, указанной регистрантом в представленном уведомлении, производит удаление доменного имени из реестра и уведомляет регистранта о прекращении действия соглашения, а также о невозможности повторной регистрации удаленного доменного имени не ранее 60 (шестидесяти) календарных дней.";</w:t>
      </w:r>
    </w:p>
    <w:p>
      <w:r>
        <w:t xml:space="preserve">дополнить пунктами 14-1 и 14-2 следующего содержания:</w:t>
      </w:r>
    </w:p>
    <w:p>
      <w:r>
        <w:t xml:space="preserve">"14-1. Доменное имя продлевается при наличии соглашения на продление доменного имени до его истечения срока действия между регистратором и регистрантом.</w:t>
      </w:r>
    </w:p>
    <w:p>
      <w:pPr>
        <w:pStyle w:val="Heading2"/>
      </w:pPr>
      <w:r>
        <w:t xml:space="preserve">Пункт 14-2</w:t>
      </w:r>
    </w:p>
    <w:p>
      <w:r>
        <w:t xml:space="preserve">14-2. При истечении срока действия доменного имени регистрант продлевает в течение 30 (тридцати) календарных дней доменное имя согласно условию указанному в пункте 14-1 настоящих Правил.";</w:t>
      </w:r>
    </w:p>
    <w:p>
      <w:r>
        <w:t xml:space="preserve">пункт 16 изложить в следующей редакции:</w:t>
      </w:r>
    </w:p>
    <w:p>
      <w:r>
        <w:t xml:space="preserve">"16. Пользование доменным именем в пространстве казахстанского сегмента Интернета приостанавливается при:</w:t>
      </w:r>
    </w:p>
    <w:p>
      <w:pPr>
        <w:pStyle w:val="Heading2"/>
      </w:pPr>
      <w:r>
        <w:t xml:space="preserve">Подпункт 1</w:t>
      </w:r>
    </w:p>
    <w:p>
      <w:r>
        <w:t xml:space="preserve">1) выявлении недостоверных сведений о регистранте, указанных в заявке поданной регистрантом для регистрации доменного имени;</w:t>
      </w:r>
    </w:p>
    <w:p>
      <w:pPr>
        <w:pStyle w:val="Heading2"/>
      </w:pPr>
      <w:r>
        <w:t xml:space="preserve">Подпункт 2</w:t>
      </w:r>
    </w:p>
    <w:p>
      <w:r>
        <w:t xml:space="preserve">2) выявлении на интернет-ресурсе вредоносного программного обеспечения, создающего угрозу безопасному использованию Интернета;</w:t>
      </w:r>
    </w:p>
    <w:p>
      <w:pPr>
        <w:pStyle w:val="Heading2"/>
      </w:pPr>
      <w:r>
        <w:t xml:space="preserve">Подпункт 3</w:t>
      </w:r>
    </w:p>
    <w:p>
      <w:r>
        <w:t xml:space="preserve">3) наличии вступившего в законную силу решения суда о приостановлении использования доменного имени;</w:t>
      </w:r>
    </w:p>
    <w:p>
      <w:pPr>
        <w:pStyle w:val="Heading2"/>
      </w:pPr>
      <w:r>
        <w:t xml:space="preserve">Подпункт 4</w:t>
      </w:r>
    </w:p>
    <w:p>
      <w:r>
        <w:t xml:space="preserve">4) не устранении регистрантом инцидента информационной безопасности, о котором поступило оповещение от уполномоченного органа, либо от Национального координационного центра информационной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отсутствии сертификата безопасности (отечественного или иностранного);</w:t>
      </w:r>
    </w:p>
    <w:p>
      <w:pPr>
        <w:pStyle w:val="Heading2"/>
      </w:pPr>
      <w:r>
        <w:t xml:space="preserve">Подпункт 6</w:t>
      </w:r>
    </w:p>
    <w:p>
      <w:r>
        <w:t xml:space="preserve">6) размещении интернет-ресурсов на аппаратно-программных комплексах вне территории Республики Казахстан;</w:t>
      </w:r>
    </w:p>
    <w:p>
      <w:pPr>
        <w:pStyle w:val="Heading2"/>
      </w:pPr>
      <w:r>
        <w:t xml:space="preserve">Подпункт 7</w:t>
      </w:r>
    </w:p>
    <w:p>
      <w:r>
        <w:t xml:space="preserve">7) наличии уведомления о выявлении на интернет-ресурсе фишинга, которое поступило от Оперативного центра информационной безопасности или Службы реагирования на инциденты информационной безопасности, отраслевого Оперативного центра информационной безопасности.";</w:t>
      </w:r>
    </w:p>
    <w:p>
      <w:r>
        <w:t xml:space="preserve">пункт 19 изложить в следующей редакции:</w:t>
      </w:r>
    </w:p>
    <w:p>
      <w:r>
        <w:t xml:space="preserve">"19. Регистратор, получив информацию от регистратуры, в течение 1 (одного) рабочего дня информирует регистранта о необходимости устранения допущенных нарушений в течение 10 (десяти) рабочих дней с момента получения уведомления, если иной срок не установлен вступившим в законную силу решением суда.";</w:t>
      </w:r>
    </w:p>
    <w:p>
      <w:pPr>
        <w:pStyle w:val="Heading2"/>
      </w:pPr>
      <w:r>
        <w:t xml:space="preserve">Приложение приложение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информационной безопасности Министерства цифрового развития, инноваций и аэрокосмической промышленности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И.о. министра | А. Оразбек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r>
        <w:t xml:space="preserve">|  | Приложение к приказу Вице-министр цифрового развития, инноваций и аэрокосмической промышленности Республики Казахстан от 20 сентября 2022 года № 337/НҚ |</w:t>
      </w:r>
    </w:p>
    <w:p>
      <w:r>
        <w:t xml:space="preserve">|---|---|</w:t>
      </w:r>
    </w:p>
    <w:p>
      <w:r>
        <w:t xml:space="preserve">|  | Приложение к Правилам регистрации, пользования и распределения доменных имен в пространстве казахстанского сегмента Интернета |</w:t>
      </w:r>
    </w:p>
    <w:p>
      <w:r>
        <w:t xml:space="preserve">|  | Форма |</w:t>
      </w:r>
    </w:p>
    <w:p>
      <w:r>
        <w:t xml:space="preserve">|  | Регистратору ___________________________ (наименование регистратора) |</w:t>
      </w:r>
    </w:p>
    <w:p>
      <w:pPr>
        <w:pStyle w:val="Heading2"/>
      </w:pPr>
      <w:r>
        <w:t xml:space="preserve">Глава Заявка регистранта</w:t>
      </w:r>
    </w:p>
    <w:p>
      <w:pPr>
        <w:pStyle w:val="Heading2"/>
      </w:pPr>
      <w:r>
        <w:t xml:space="preserve">Пункт 1</w:t>
      </w:r>
    </w:p>
    <w:p>
      <w:r>
        <w:t xml:space="preserve">1. *Наименование доменного имени.</w:t>
      </w:r>
    </w:p>
    <w:p>
      <w:pPr>
        <w:pStyle w:val="Heading2"/>
      </w:pPr>
      <w:r>
        <w:t xml:space="preserve">Пункт 2</w:t>
      </w:r>
    </w:p>
    <w:p>
      <w:r>
        <w:t xml:space="preserve">2. *Период регистрации доменного имени.</w:t>
      </w:r>
    </w:p>
    <w:p>
      <w:pPr>
        <w:pStyle w:val="Heading2"/>
      </w:pPr>
      <w:r>
        <w:t xml:space="preserve">Пункт 3</w:t>
      </w:r>
    </w:p>
    <w:p>
      <w:r>
        <w:t xml:space="preserve">3. *Цель регистрации.</w:t>
      </w:r>
    </w:p>
    <w:p>
      <w:pPr>
        <w:pStyle w:val="Heading2"/>
      </w:pPr>
      <w:r>
        <w:t xml:space="preserve">Пункт 4</w:t>
      </w:r>
    </w:p>
    <w:p>
      <w:r>
        <w:t xml:space="preserve">4. *Сведения о четырех контактах:</w:t>
      </w:r>
    </w:p>
    <w:p>
      <w:pPr>
        <w:pStyle w:val="Heading2"/>
      </w:pPr>
      <w:r>
        <w:t xml:space="preserve">Подпункт 1</w:t>
      </w:r>
    </w:p>
    <w:p>
      <w:r>
        <w:t xml:space="preserve">1) *регистрант;</w:t>
      </w:r>
    </w:p>
    <w:p>
      <w:pPr>
        <w:pStyle w:val="Heading2"/>
      </w:pPr>
      <w:r>
        <w:t xml:space="preserve">Подпункт 2</w:t>
      </w:r>
    </w:p>
    <w:p>
      <w:r>
        <w:t xml:space="preserve">2) административный контакт;</w:t>
      </w:r>
    </w:p>
    <w:p>
      <w:pPr>
        <w:pStyle w:val="Heading2"/>
      </w:pPr>
      <w:r>
        <w:t xml:space="preserve">Подпункт 3</w:t>
      </w:r>
    </w:p>
    <w:p>
      <w:r>
        <w:t xml:space="preserve">3) технический контакт;</w:t>
      </w:r>
    </w:p>
    <w:p>
      <w:pPr>
        <w:pStyle w:val="Heading2"/>
      </w:pPr>
      <w:r>
        <w:t xml:space="preserve">Подпункт 4</w:t>
      </w:r>
    </w:p>
    <w:p>
      <w:r>
        <w:t xml:space="preserve">4) финансовый контакт.</w:t>
      </w:r>
    </w:p>
    <w:p>
      <w:pPr>
        <w:pStyle w:val="Heading2"/>
      </w:pPr>
      <w:r>
        <w:t xml:space="preserve">Пункт 5</w:t>
      </w:r>
    </w:p>
    <w:p>
      <w:r>
        <w:t xml:space="preserve">5. *Каждый контакт должен содержать следующие данные:</w:t>
      </w:r>
    </w:p>
    <w:p>
      <w:pPr>
        <w:pStyle w:val="Heading2"/>
      </w:pPr>
      <w:r>
        <w:t xml:space="preserve">Подпункт 1</w:t>
      </w:r>
    </w:p>
    <w:p>
      <w:r>
        <w:t xml:space="preserve">1) *фамилия, имя, отчество (при его наличии), ИИН контактного лица (в случае, если контакт является физическим лицом);</w:t>
      </w:r>
    </w:p>
    <w:p>
      <w:pPr>
        <w:pStyle w:val="Heading2"/>
      </w:pPr>
      <w:r>
        <w:t xml:space="preserve">Подпункт 2</w:t>
      </w:r>
    </w:p>
    <w:p>
      <w:r>
        <w:t xml:space="preserve">2) *наименование организации, БИН (в случае, если контакт является юридическим лицом);</w:t>
      </w:r>
    </w:p>
    <w:p>
      <w:pPr>
        <w:pStyle w:val="Heading2"/>
      </w:pPr>
      <w:r>
        <w:t xml:space="preserve">Подпункт 3</w:t>
      </w:r>
    </w:p>
    <w:p>
      <w:r>
        <w:t xml:space="preserve">3) *почтовый адрес (включая город, область);</w:t>
      </w:r>
    </w:p>
    <w:p>
      <w:pPr>
        <w:pStyle w:val="Heading2"/>
      </w:pPr>
      <w:r>
        <w:t xml:space="preserve">Подпункт 4</w:t>
      </w:r>
    </w:p>
    <w:p>
      <w:r>
        <w:t xml:space="preserve">4) *почтовый индекс;</w:t>
      </w:r>
    </w:p>
    <w:p>
      <w:pPr>
        <w:pStyle w:val="Heading2"/>
      </w:pPr>
      <w:r>
        <w:t xml:space="preserve">Подпункт 5</w:t>
      </w:r>
    </w:p>
    <w:p>
      <w:r>
        <w:t xml:space="preserve">5) *двухбуквенный код страны;</w:t>
      </w:r>
    </w:p>
    <w:p>
      <w:pPr>
        <w:pStyle w:val="Heading2"/>
      </w:pPr>
      <w:r>
        <w:t xml:space="preserve">Подпункт 6</w:t>
      </w:r>
    </w:p>
    <w:p>
      <w:r>
        <w:t xml:space="preserve">6) *телефон;</w:t>
      </w:r>
    </w:p>
    <w:p>
      <w:pPr>
        <w:pStyle w:val="Heading2"/>
      </w:pPr>
      <w:r>
        <w:t xml:space="preserve">Подпункт 7</w:t>
      </w:r>
    </w:p>
    <w:p>
      <w:r>
        <w:t xml:space="preserve">7) факс;</w:t>
      </w:r>
    </w:p>
    <w:p>
      <w:pPr>
        <w:pStyle w:val="Heading2"/>
      </w:pPr>
      <w:r>
        <w:t xml:space="preserve">Подпункт 8</w:t>
      </w:r>
    </w:p>
    <w:p>
      <w:r>
        <w:t xml:space="preserve">8) *адрес электронной почты.</w:t>
      </w:r>
    </w:p>
    <w:p>
      <w:pPr>
        <w:pStyle w:val="Heading2"/>
      </w:pPr>
      <w:r>
        <w:t xml:space="preserve">Пункт 6</w:t>
      </w:r>
    </w:p>
    <w:p>
      <w:r>
        <w:t xml:space="preserve">6. *Сведения о DNS-серверах:</w:t>
      </w:r>
    </w:p>
    <w:p>
      <w:pPr>
        <w:pStyle w:val="Heading2"/>
      </w:pPr>
      <w:r>
        <w:t xml:space="preserve">Подпункт 1</w:t>
      </w:r>
    </w:p>
    <w:p>
      <w:r>
        <w:t xml:space="preserve">1) *адрес первичного DNS-сервера;</w:t>
      </w:r>
    </w:p>
    <w:p>
      <w:pPr>
        <w:pStyle w:val="Heading2"/>
      </w:pPr>
      <w:r>
        <w:t xml:space="preserve">Подпункт 2</w:t>
      </w:r>
    </w:p>
    <w:p>
      <w:r>
        <w:t xml:space="preserve">2) *адрес вторичного DNS-сервера;</w:t>
      </w:r>
    </w:p>
    <w:p>
      <w:pPr>
        <w:pStyle w:val="Heading2"/>
      </w:pPr>
      <w:r>
        <w:t xml:space="preserve">Подпункт 3</w:t>
      </w:r>
    </w:p>
    <w:p>
      <w:r>
        <w:t xml:space="preserve">3) адреса дополнительных DNS-серверов;</w:t>
      </w:r>
    </w:p>
    <w:p>
      <w:pPr>
        <w:pStyle w:val="Heading2"/>
      </w:pPr>
      <w:r>
        <w:t xml:space="preserve">Подпункт 4</w:t>
      </w:r>
    </w:p>
    <w:p>
      <w:r>
        <w:t xml:space="preserve">4) *почтовый адрес (включая город, область) местонахождения серверного оборудования, на котором будет использоваться доменное имя.</w:t>
      </w:r>
    </w:p>
    <w:p>
      <w:pPr>
        <w:pStyle w:val="Heading2"/>
      </w:pPr>
      <w:r>
        <w:t xml:space="preserve">Пункт 7</w:t>
      </w:r>
    </w:p>
    <w:p>
      <w:r>
        <w:t xml:space="preserve">7. Копия документов, подтверждающих регистрацию товарного знака на территории Республики Казахстан.</w:t>
      </w:r>
    </w:p>
    <w:p>
      <w:r>
        <w:t xml:space="preserve">Достоверность предоставленной информации подтверждаю.</w:t>
      </w:r>
    </w:p>
    <w:p>
      <w:r>
        <w:t xml:space="preserve">Подтверждаю свое согласие с текстом соглашения о регистрации, содержащее подробные условия оказания услуг по регистрации, опубликованное на интернет-ресурсе регистратора.</w:t>
      </w:r>
    </w:p>
    <w:p>
      <w:r>
        <w:t xml:space="preserve">__________________________</w:t>
      </w:r>
    </w:p>
    <w:p>
      <w:r>
        <w:t xml:space="preserve">(подпись регистранта/электронная цифровая подпись регистранта)</w:t>
      </w:r>
    </w:p>
    <w:p>
      <w:r>
        <w:t xml:space="preserve">__________________________ (дата)</w:t>
      </w:r>
    </w:p>
    <w:p>
      <w:r>
        <w:t xml:space="preserve">Примечание:</w:t>
      </w:r>
    </w:p>
    <w:p>
      <w:r>
        <w:t xml:space="preserve">Сведения предоставляются регистрантом регистратору и хранятся в реестре в течение всего срока регистрации.</w:t>
      </w:r>
    </w:p>
    <w:p>
      <w:r>
        <w:t xml:space="preserve">Пункты, отмеченные * являются обязательными к заполнению.</w:t>
      </w:r>
    </w:p>
    <w:p>
      <w:r>
        <w:t xml:space="preserve">Все сведения предоставляются в латинской транскрипции.</w:t>
      </w:r>
    </w:p>
    <w:p>
      <w:r>
        <w:t xml:space="preserve">В случае отсутствия сведений о техническом и финансовом контактах, их функции автоматически выполняет административный контакт.</w:t>
      </w:r>
    </w:p>
    <w:p>
      <w:r>
        <w:t xml:space="preserve">В случае отсутствия сведений об административном контакте, его функции автоматически выполняет регистрант.</w:t>
      </w:r>
    </w:p>
    <w:p>
      <w:r>
        <w:t xml:space="preserve">Обязательным условием к серверному оборудованию является его физическое место нахождения на территории Республики Казахстан.</w:t>
      </w:r>
    </w:p>
    <w:p>
      <w:r>
        <w:t xml:space="preserve">При регистрации необходимо предоставлять копию документа, удостоверяющего личность (в случае, если регистрант является физическим лицом), свидетельство о регистрации или справку (в случае, если регистрант является юридическим лицом).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