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постановление Правления Национального Банка Республики Казахстан от 25 июля 2006 года № 65 "Об утверждении Правил осуществления инвестиционных операций Национального фонда Республики Казахстан"</w:t>
      </w:r>
    </w:p>
    <w:p>
      <w:r>
        <w:t xml:space="preserve">Постановление, Изменения, Дополнения. Национальный Банк Республики Казахстан. от 28.04.2022. № 167722. редакция от 28.04.2022</w:t>
      </w:r>
    </w:p>
    <w:p>
      <w:pPr>
        <w:pStyle w:val="Heading2"/>
      </w:pPr>
      <w:r>
        <w:t xml:space="preserve">Текст</w:t>
      </w:r>
    </w:p>
    <w:p>
      <w:r>
        <w:t xml:space="preserve">Правление Национального Банка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Правления Национального Банка Республики Казахстан от 25 июля 2006 года № 65 "Об утверждении Правил осуществления инвестиционных операций Национального фонда Республики Казахстан" (зарегистрировано в Реестре государственной регистрации нормативных правовых актов под № 4361) следующие изменения и дополнение:</w:t>
      </w:r>
    </w:p>
    <w:p>
      <w:r>
        <w:t xml:space="preserve">в Правилах осуществления инвестиционных операций Национального фонда Республики Казахстан, утвержденных указанным постановлением:</w:t>
      </w:r>
    </w:p>
    <w:p>
      <w:r>
        <w:t xml:space="preserve">пункт 16-1 исключить;</w:t>
      </w:r>
    </w:p>
    <w:p>
      <w:r>
        <w:t xml:space="preserve">пункт 21 исключить;</w:t>
      </w:r>
    </w:p>
    <w:p>
      <w:r>
        <w:t xml:space="preserve">пункт 26-2 изложить в следующей редакции:</w:t>
      </w:r>
    </w:p>
    <w:p>
      <w:r>
        <w:t xml:space="preserve">"26-2. Переходный период – период, в течение которого осуществляется переход к новому целевому стратегическому распределению активов сберегательного портфеля.";</w:t>
      </w:r>
    </w:p>
    <w:p>
      <w:r>
        <w:t xml:space="preserve">пункт 52 изложить в следующей редакции:</w:t>
      </w:r>
    </w:p>
    <w:p>
      <w:r>
        <w:t xml:space="preserve">"52. Эталонным портфелем для портфеля акций в активном управлении является индекс MSCI World ex Sweden Index – специализированный индекс, состоящий из акций компаний развитых стран мира, составляемый компанией Morgan Stanley Capital International.</w:t>
      </w:r>
    </w:p>
    <w:p>
      <w:r>
        <w:t xml:space="preserve">Эталонный портфель для портфеля акций в пассивном управлении включает следующие индексы:</w:t>
      </w:r>
    </w:p>
    <w:p>
      <w:r>
        <w:t xml:space="preserve">MSCI World ex Sweden Index – до 100 (ста) процентов;</w:t>
      </w:r>
    </w:p>
    <w:p>
      <w:r>
        <w:t xml:space="preserve">MSCI World ex Sweden Minimum Volatility Index – до 10 (десяти) процентов;</w:t>
      </w:r>
    </w:p>
    <w:p>
      <w:r>
        <w:t xml:space="preserve">MSCI World ex Sweden Quality Index – до 20 (двадцати) процентов;</w:t>
      </w:r>
    </w:p>
    <w:p>
      <w:r>
        <w:t xml:space="preserve">MSCI World ex Sweden ESG Leaders Index – до 20 (двадцати) процентов.</w:t>
      </w:r>
    </w:p>
    <w:p>
      <w:r>
        <w:t xml:space="preserve">Показателем доходности, рассчитываемой ежедневно, является доходность индекса с учетом реинвестирования дивидендов без учета налогов.";</w:t>
      </w:r>
    </w:p>
    <w:p>
      <w:r>
        <w:t xml:space="preserve">пункты 55-1 и 55-2 изложить в следующей редакции:</w:t>
      </w:r>
    </w:p>
    <w:p>
      <w:r>
        <w:t xml:space="preserve">"55-1. Инвестирование не менее 80 (восьмидесяти) процентов от рыночной стоимости портфеля акций осуществляется с помощью внешних управляющих активами Фонда.</w:t>
      </w:r>
    </w:p>
    <w:p>
      <w:r>
        <w:t xml:space="preserve">Производные финансовые инструменты для хеджирования портфеля акций, осуществляемого Национальным Банком, не учитываются в расчете лимита, определенного в части первой настоящего пункта.</w:t>
      </w:r>
    </w:p>
    <w:p>
      <w:pPr>
        <w:pStyle w:val="Heading2"/>
      </w:pPr>
      <w:r>
        <w:t xml:space="preserve">Пункт 55-2</w:t>
      </w:r>
    </w:p>
    <w:p>
      <w:r>
        <w:t xml:space="preserve">55-2. Хеджирование портфеля акций, осуществляемое Национальным Банком с помощью производных финансовых инструментов, проводится для минимизации убытков и (или) приближения портфеля акций к целевому стратегическому распределению активов сберегательного портфеля.</w:t>
      </w:r>
    </w:p>
    <w:p>
      <w:r>
        <w:t xml:space="preserve">Сумма номинальных стоимостей в абсолютных значениях всех позиций по производным финансовым инструментам для хеджирования портфеля акций, осуществляемого Национальным Банком, на момент заключения сделок не превышает 100 (ста) процентов от рыночной стоимости портфеля акций.</w:t>
      </w:r>
    </w:p>
    <w:p>
      <w:r>
        <w:t xml:space="preserve">Производные финансовые инструменты для хеджирования портфеля акций, осуществляемого Национальным Банком, не учитываются в расчете ожидаемой изменчивости отклонения доходности.";</w:t>
      </w:r>
    </w:p>
    <w:p>
      <w:r>
        <w:t xml:space="preserve">дополнить пунктом 55-3 следующего содержания:</w:t>
      </w:r>
    </w:p>
    <w:p>
      <w:r>
        <w:t xml:space="preserve">"55-3. Ожидаемая изменчивость отклонения доходности портфеля акций в активном управлении (ex-ante tracking error) с учетом входящих в него производных финансовых инструментов не превышает 7 (семи) процентов годовых.</w:t>
      </w:r>
    </w:p>
    <w:p>
      <w:r>
        <w:t xml:space="preserve">В случае превышения ограничения, предусмотренного частью первой настоящего пункта, Национальный Банк устраняет несоответствие в срок не более 15 (пятнадцати) рабочих дней со дня превышения.";</w:t>
      </w:r>
    </w:p>
    <w:p>
      <w:pPr>
        <w:pStyle w:val="Heading2"/>
      </w:pPr>
      <w:r>
        <w:t xml:space="preserve">Приложение приложение 2 изложить в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монетарных операций (Турсунханов Н.А.)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совместно с Юридическим департаментом (Касенов А.С.) государственную регистрацию настоящего постановления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мероприятий, предусмотренных подпунктом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Председателя Национального Банка Республики Казахстан Молдабекову А.М.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Национального Банка Республики Казахстан | Г. Пирматов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финансов Республики Казахстан</w:t>
      </w:r>
    </w:p>
    <w:p>
      <w:r>
        <w:t xml:space="preserve">|  | Приложение к постановлению от 28 апреля 2022 года № 32 |</w:t>
      </w:r>
    </w:p>
    <w:p>
      <w:r>
        <w:t xml:space="preserve">|---|---|</w:t>
      </w:r>
    </w:p>
    <w:p>
      <w:r>
        <w:t xml:space="preserve">|  | Приложение 2 к Правилам осуществления инвестиционных операций Национального фонда Республики Казахстан |</w:t>
      </w:r>
    </w:p>
    <w:p>
      <w:pPr>
        <w:pStyle w:val="Heading2"/>
      </w:pPr>
      <w:r>
        <w:t xml:space="preserve">Глава Секторное распределение стабилизационного портфеля</w:t>
      </w:r>
    </w:p>
    <w:p>
      <w:r>
        <w:t xml:space="preserve">|  | Виды активов | Рыночная стоимость (для производных финансовых инструментов используется рыночная стоимость лежащих в их основе финансовых инструментов) |  |</w:t>
      </w:r>
    </w:p>
    <w:p>
      <w:r>
        <w:t xml:space="preserve">|---|---|---|---|</w:t>
      </w:r>
    </w:p>
    <w:p>
      <w:r>
        <w:t xml:space="preserve">| минимум (в процентах) | максимум (в процентах) |  |  |</w:t>
      </w:r>
    </w:p>
    <w:p>
      <w:r>
        <w:t xml:space="preserve">| № п/п | 1 | 2 | 3 |</w:t>
      </w:r>
    </w:p>
    <w:p>
      <w:r>
        <w:t xml:space="preserve">| 1 | Деньги (остатки на текущих счетах; деньги, размещенные в фонды денежного рынка с возможностью возврата на следующий рабочий день), государственные ценные бумаги стран, входящих в эталонный портфель | 50 | 100 |</w:t>
      </w:r>
    </w:p>
    <w:p>
      <w:r>
        <w:t xml:space="preserve">| 2 | Государственные ценные бумаги стран, не входящих в эталонный индекс, агентские долговые обязательства, долговые обязательства международных финансовых организаций, в том числе Банка международных расчҰтов, муниципальные долговые обязательства стран, входящих в эталонный портфель | 0 | 50 |</w:t>
      </w:r>
    </w:p>
    <w:p>
      <w:r>
        <w:t xml:space="preserve">| 3 | Депозиты (вклады), в том числе деньги, размещенные на депозиты (вклады) от операций репо | 0 | 50 |</w:t>
      </w:r>
    </w:p>
    <w:p>
      <w:r>
        <w:t xml:space="preserve">| 4 | Производные финансовые инструменты | 0 | 20 |</w:t>
      </w:r>
    </w:p>
    <w:p>
      <w:r>
        <w:t xml:space="preserve">| 5 | Корпоративные ценные бумаги, коммерческие ценные бумаги, депозитные сертификаты | 0 | 30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