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изменении в решение Исатайского районного маслихата от 6 мая 2020 года № 303-VI "Об установлении специалистам в области социального обеспечения, образования, культуры, спорта являющимся гражданскими служащими и работающим в сельской местности повышенные должностные оклады и тарифные ставки"</w:t>
      </w:r>
    </w:p>
    <w:p>
      <w:r>
        <w:t xml:space="preserve">Решение. Маслихат Исатайского района. от 08.07.2021. № 157246. редакция от 08.07.2021</w:t>
      </w:r>
    </w:p>
    <w:p>
      <w:pPr>
        <w:pStyle w:val="Heading2"/>
      </w:pPr>
      <w:r>
        <w:t xml:space="preserve">Текст</w:t>
      </w:r>
    </w:p>
    <w:p>
      <w:r>
        <w:t xml:space="preserve">Исатайский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Исатайского районного маслихата "Об установлении специалистам в области социального обеспечения, образования, культуры, спорта являющимся гражданскими служащими и работающим в сельской местности повышенные должностные оклады и тарифные ставки" от 6 мая 2020 года (зарегистрировано в реестре государственной регистрации нормативных правовых актов за № 4653) следущие изменения:</w:t>
      </w:r>
    </w:p>
    <w:p>
      <w:r>
        <w:t xml:space="preserve">заголовок изложить в новой редакции:</w:t>
      </w:r>
    </w:p>
    <w:p>
      <w:r>
        <w:t xml:space="preserve">"Об установлении специалистам в области социального обеспечения и культуры, являющимся гражданскими служащими и работающим в сельской местности, за счет бюджетных средств повышенные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условиях.";</w:t>
      </w:r>
    </w:p>
    <w:p>
      <w:r>
        <w:t xml:space="preserve">пункт 1 изложить в новой редакции:</w:t>
      </w:r>
    </w:p>
    <w:p>
      <w:r>
        <w:t xml:space="preserve">"1. Установить специалистам в области социального обеспечения и культуры, являющимся гражданскими служащими и работающим в сельской местности, за счет бюджетных средств повышенные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маслихата | Н. Муханбеталиев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