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энергетики Республики Казахстан от 20 февраля 2017 года № 60 "Об утверждении Технического регламента "Ядерная и радиационная безопасность атомных станций"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12.03.2021. № 153509. редакция от 12.03.2021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20 февраля 2017 года № 60 "Об утверждении Технического регламента "Ядерная и радиационная безопасность атомных станций" (зарегистрирован в Реестре государственной регистрации нормативных правовых актов за № 15007, опубликован 2 мая 2017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в Техническом регламенте "Ядерная и радиационная безопасность атомных станций", утвержденном указанным приказом:</w:t>
      </w:r>
    </w:p>
    <w:p>
      <w:r>
        <w:t xml:space="preserve">пункт 169 изложить в следующей редакции:</w:t>
      </w:r>
    </w:p>
    <w:p>
      <w:r>
        <w:t xml:space="preserve">"169. Регистрации в уполномоченном органе подлежат:</w:t>
      </w:r>
    </w:p>
    <w:p>
      <w:pPr>
        <w:pStyle w:val="Heading2"/>
      </w:pPr>
      <w:r>
        <w:t xml:space="preserve">Подпункт 1</w:t>
      </w:r>
    </w:p>
    <w:p>
      <w:r>
        <w:t xml:space="preserve">1) оборудование и трубопроводы класса безопасности 1;</w:t>
      </w:r>
    </w:p>
    <w:p>
      <w:pPr>
        <w:pStyle w:val="Heading2"/>
      </w:pPr>
      <w:r>
        <w:t xml:space="preserve">Подпункт 2</w:t>
      </w:r>
    </w:p>
    <w:p>
      <w:r>
        <w:t xml:space="preserve">2) оборудование и трубопроводы класса безопасности 2;</w:t>
      </w:r>
    </w:p>
    <w:p>
      <w:pPr>
        <w:pStyle w:val="Heading2"/>
      </w:pPr>
      <w:r>
        <w:t xml:space="preserve">Подпункт 3</w:t>
      </w:r>
    </w:p>
    <w:p>
      <w:r>
        <w:t xml:space="preserve">3) оборудование и трубопроводы класса безопасности 3 при наличии любого из следующих условий: их разрушение приводит к выходу средне - или высокоактивных радиоактивных сред; температура теплоносителя превышает 200 градусов Цельсия (далее – оС); температура теплоносителя не превышает 200 о С, но произведение емкости в кубических метрах (литрах) (далее – м 3 (л)), на рабочее давление в единицах измерения мега Паскаль (килограмм силы на квадратный сантиметр (далее – МПа, кгс/см 2 )), превышает 1 (10000 л кгс/см2);</w:t>
      </w:r>
    </w:p>
    <w:p>
      <w:pPr>
        <w:pStyle w:val="Heading2"/>
      </w:pPr>
      <w:r>
        <w:t xml:space="preserve">Подпункт 4</w:t>
      </w:r>
    </w:p>
    <w:p>
      <w:r>
        <w:t xml:space="preserve">4) корпуса главных циркуляционных насосов.";</w:t>
      </w:r>
    </w:p>
    <w:p>
      <w:r>
        <w:t xml:space="preserve">пункт 238 изложить в следующей редакции:</w:t>
      </w:r>
    </w:p>
    <w:p>
      <w:r>
        <w:t xml:space="preserve">"238. Необходимо, чтобы образцы-свидетели сварных соединений, набирающих к концу эксплуатации флюенс нейтронов не менее 1022 нейтрон/м2 (Е &gt; 0,5 МэВ), были выполнены сварочными материалами той же партии (проволокой одной партии в сочетании с флюсом одной партии при автоматической сварке под флюсом, электродами одной партии при ручной дуговой сварке, проволокой одной партии при аргонодуговой сварке), что и сварные швы корпуса реактора напротив активной зоны. Если проволока одной марки, одной плавки, одного диаметра и одного вида поверхности поставлена разными партиями, ее следует рассматривать как проволоку одной партии (плавки) с присвоением ей общего номера.";</w:t>
      </w:r>
    </w:p>
    <w:p>
      <w:r>
        <w:t xml:space="preserve">пункты 271 и 272 изложить в следующей редакции:</w:t>
      </w:r>
    </w:p>
    <w:p>
      <w:r>
        <w:t xml:space="preserve">"271. Гидравлические (пневматические) испытания оборудования и трубопроводов проводятся при температуре испытательной среды, при которой температура металла испытуемого оборудования и трубопроводов не будет ниже минимальной допускаемой, определяемой согласно принятым нормам расчета на прочность. При этом во всех случаях температура испытательной и окружающей среды – не ниже 5 о С.</w:t>
      </w:r>
    </w:p>
    <w:p>
      <w:pPr>
        <w:pStyle w:val="Heading2"/>
      </w:pPr>
      <w:r>
        <w:t xml:space="preserve">Пункт 272</w:t>
      </w:r>
    </w:p>
    <w:p>
      <w:r>
        <w:t xml:space="preserve">272. Допускается проведение гидравлических (пневматических) испытаний после изготовления или монтажа без проведения расчета по пункту 271 настоящего Технического регламента при температуре металла не менее 5 о С в следующих случаях:</w:t>
      </w:r>
    </w:p>
    <w:p>
      <w:pPr>
        <w:pStyle w:val="Heading2"/>
      </w:pPr>
      <w:r>
        <w:t xml:space="preserve">Подпункт 1</w:t>
      </w:r>
    </w:p>
    <w:p>
      <w:r>
        <w:t xml:space="preserve">1) изделие изготовлено из коррозионно-стойкой стали аустенитного класса, цветного или железоникелевого сплава;</w:t>
      </w:r>
    </w:p>
    <w:p>
      <w:pPr>
        <w:pStyle w:val="Heading2"/>
      </w:pPr>
      <w:r>
        <w:t xml:space="preserve">Подпункт 2</w:t>
      </w:r>
    </w:p>
    <w:p>
      <w:r>
        <w:t xml:space="preserve">2) изделие изготовлено из материалов с пределом текучести при температуре 20 о С менее 295 МПа (30 кгс/мм2) и имеет наибольшую толщину стенки не более 25 мм;</w:t>
      </w:r>
    </w:p>
    <w:p>
      <w:pPr>
        <w:pStyle w:val="Heading2"/>
      </w:pPr>
      <w:r>
        <w:t xml:space="preserve">Подпункт 3</w:t>
      </w:r>
    </w:p>
    <w:p>
      <w:r>
        <w:t xml:space="preserve">3) изделие изготовлено из материалов с пределом текучести при температуре 20 о С менее 590 МПа (60 кгс/мм2) и имеет наибольшую толщину стенки не более 16 мм.</w:t>
      </w:r>
    </w:p>
    <w:p>
      <w:r>
        <w:t xml:space="preserve">Допускается без проведения расчета по пункту 271 настоящего Технического регламента определять минимальную допустимую температуру металла при гидравлических испытаниях Th из следующих соотношений:</w:t>
      </w:r>
    </w:p>
    <w:p>
      <w:r>
        <w:t xml:space="preserve">при SR2P0,2 &lt;3,5х106</w:t>
      </w:r>
    </w:p>
    <w:p>
      <w:r>
        <w:t xml:space="preserve">Тh &gt;Тkо – 260 + 73 х 10-6 SR2P0,2;</w:t>
      </w:r>
    </w:p>
    <w:p>
      <w:r>
        <w:t xml:space="preserve">при 3,5 х 106 &lt; SR2P0,2 &lt;25 х 106</w:t>
      </w:r>
    </w:p>
    <w:p>
      <w:r>
        <w:t xml:space="preserve">Th &gt;Tkо – 17 + 3,1 x 10-6 SR2P0,2;</w:t>
      </w:r>
    </w:p>
    <w:p>
      <w:r>
        <w:t xml:space="preserve">при SR2P0,2 &gt; 25 x 106Th &gt; Tkо + 48 + 0,47 x 10-6 SR2P0,2;</w:t>
      </w:r>
    </w:p>
    <w:p>
      <w:r>
        <w:t xml:space="preserve">где: Тkо – критическая температура хрупкости материала в исходном состоянии, о С;</w:t>
      </w:r>
    </w:p>
    <w:p>
      <w:r>
        <w:t xml:space="preserve">Th – температура гидравлических испытаний;</w:t>
      </w:r>
    </w:p>
    <w:p>
      <w:r>
        <w:t xml:space="preserve">S – наибольшая номинальная толщина стенки изделия, мм;</w:t>
      </w:r>
    </w:p>
    <w:p>
      <w:r>
        <w:t xml:space="preserve">RP0,2 – предел текучести материала при температуре 20 о С, МПа.</w:t>
      </w:r>
    </w:p>
    <w:p>
      <w:r>
        <w:t xml:space="preserve">Значение Тkо задается в конструкторской документации и подтверждается в процессе изготовления.";</w:t>
      </w:r>
    </w:p>
    <w:p>
      <w:r>
        <w:t xml:space="preserve">пункт 308 изложить в следующей редакции:</w:t>
      </w:r>
    </w:p>
    <w:p>
      <w:r>
        <w:t xml:space="preserve">"308. Метрологическое обеспечение эксплуатации АС предусматривается техническим заданием на разработку АС и является составной частью проекта АС. Метрологическое обеспечение эксплуатации АС включает:</w:t>
      </w:r>
    </w:p>
    <w:p>
      <w:pPr>
        <w:pStyle w:val="Heading2"/>
      </w:pPr>
      <w:r>
        <w:t xml:space="preserve">Подпункт 1</w:t>
      </w:r>
    </w:p>
    <w:p>
      <w:r>
        <w:t xml:space="preserve">1) номенклатуру основных параметров, подлежащих контролю, нормы точности измерений, методики выполнения измерений, типы средств измерений;</w:t>
      </w:r>
    </w:p>
    <w:p>
      <w:pPr>
        <w:pStyle w:val="Heading2"/>
      </w:pPr>
      <w:r>
        <w:t xml:space="preserve">Подпункт 2</w:t>
      </w:r>
    </w:p>
    <w:p>
      <w:r>
        <w:t xml:space="preserve">2) поверку для средств измерений при их эксплуатации;</w:t>
      </w:r>
    </w:p>
    <w:p>
      <w:pPr>
        <w:pStyle w:val="Heading2"/>
      </w:pPr>
      <w:r>
        <w:t xml:space="preserve">Подпункт 3</w:t>
      </w:r>
    </w:p>
    <w:p>
      <w:r>
        <w:t xml:space="preserve">3) номенклатуру методик поверки средств измерений и измерительных систем;</w:t>
      </w:r>
    </w:p>
    <w:p>
      <w:pPr>
        <w:pStyle w:val="Heading2"/>
      </w:pPr>
      <w:r>
        <w:t xml:space="preserve">Подпункт 4</w:t>
      </w:r>
    </w:p>
    <w:p>
      <w:r>
        <w:t xml:space="preserve">4) технические требования к помещениям для обслуживания, ремонта, поверки и хранения средств измерений;</w:t>
      </w:r>
    </w:p>
    <w:p>
      <w:pPr>
        <w:pStyle w:val="Heading2"/>
      </w:pPr>
      <w:r>
        <w:t xml:space="preserve">Подпункт 5</w:t>
      </w:r>
    </w:p>
    <w:p>
      <w:r>
        <w:t xml:space="preserve">5) нормативы численности персонала, выполняющего работу по метрологическому обеспечению эксплуатации АС и его квалификацию.".</w:t>
      </w:r>
    </w:p>
    <w:p>
      <w:pPr>
        <w:pStyle w:val="Heading2"/>
      </w:pPr>
      <w:r>
        <w:t xml:space="preserve">Пункт 2</w:t>
      </w:r>
    </w:p>
    <w:p>
      <w:r>
        <w:t xml:space="preserve">2. Комитету атомного и энергетического надзора и контроля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двадцати одного календарного дня после дня его первого официального опубликования.</w:t>
      </w:r>
    </w:p>
    <w:p>
      <w:r>
        <w:t xml:space="preserve">| Министр энергетики Республики Казахстан | Н. Ногаев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здравоохранения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торговли и интеграции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