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</w:t>
      </w:r>
    </w:p>
    <w:p>
      <w:r>
        <w:t xml:space="preserve">Решение. Аким поселка Теренозек. от 21.11.2019. № 136372. редакция от 21.11.2019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в Республики Казахстан" и заключением Областной ономастической комиссии от 19 сентября 2019 года №1, аким поселка Теренозек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поселка Теренозек:</w:t>
      </w:r>
    </w:p>
    <w:p>
      <w:pPr>
        <w:pStyle w:val="Heading2"/>
      </w:pPr>
      <w:r>
        <w:t xml:space="preserve">Подпункт 1</w:t>
      </w:r>
    </w:p>
    <w:p>
      <w:r>
        <w:t xml:space="preserve">1) улицу "Ақтам-2" именем "Асан Көшербаев";</w:t>
      </w:r>
    </w:p>
    <w:p>
      <w:pPr>
        <w:pStyle w:val="Heading2"/>
      </w:pPr>
      <w:r>
        <w:t xml:space="preserve">Подпункт 2</w:t>
      </w:r>
    </w:p>
    <w:p>
      <w:r>
        <w:t xml:space="preserve">2) переулок "Қызылдихан" именем "Әбіл Таңсықбаев".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поселка акима | Н. БИСЕМБАЕВ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