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совместное нормативное постановление Счетного комитета по контролю за исполнением республиканского бюджета от 28 ноября 2015 года № 9-НҚ и приказ Министра финансов Республики Казахстан от 27 ноября 2015 года № 589 "Об утверждении Правил взаимодействия органов государственного аудита и финансового контроля"</w:t>
      </w:r>
    </w:p>
    <w:p>
      <w:r>
        <w:t xml:space="preserve">Нормативное постановление, Приказ, Изменения, Дополнения. Высшая аудиторская палата Республики Казахстан (старое название: Счетный комитет по контролю за исполнением республиканского бюджета), Министерство финансов Республики Казахстан. от 09.04.2018. № 121289. редакция от 09.04.2018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46 Закона Республики Казахстан от  12 ноября 2015 года "О государственном аудите и финансовом контроле" Счетный комитет по контролю за исполнением республиканского бюджета (далее – Счетный комитет) ПОСТАНОВЛЯЕТ и Министр финансов Республики Казахстан ПРИКАЗЫВАЕТ: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совместное нормативное постановление Счетного комитета по контролю за исполнением республиканского бюджета от 28 ноября 2015 года № 9-НҚ и приказ Министра финансов Республики Казахстан от 27 ноября  2015 года № 589 "Об утверждении Правил взаимодействия органов государственного аудита и финансового контроля" (зарегистрировано в Реестре государственной регистрации нормативных правовых актов № 12577, опубликовано 12 января 2016 года в информационно-правовой системе "Әділет") следующие изменения и дополнение:</w:t>
      </w:r>
    </w:p>
    <w:p>
      <w:r>
        <w:t xml:space="preserve">В Правилах взаимодействия органов государственного аудита и финансового контроля, утвержденных указанным совместным нормативным постановлением и приказом:</w:t>
      </w:r>
    </w:p>
    <w:p>
      <w:r>
        <w:t xml:space="preserve">заголовок главы 1 изложить в следующей редакции:</w:t>
      </w:r>
    </w:p>
    <w:p>
      <w:r>
        <w:t xml:space="preserve">"Глава 1. Общие положения";</w:t>
      </w:r>
    </w:p>
    <w:p>
      <w:r>
        <w:t xml:space="preserve">заголовок главы 2 изложить в следующей редакции:</w:t>
      </w:r>
    </w:p>
    <w:p>
      <w:r>
        <w:t xml:space="preserve">"Глава 2. Взаимодействие органов государственного аудита при формировании перечней объектов государственного аудита";</w:t>
      </w:r>
    </w:p>
    <w:p>
      <w:r>
        <w:t xml:space="preserve">часть вторую пункта 4 изложить в следующей редакции:</w:t>
      </w:r>
    </w:p>
    <w:p>
      <w:r>
        <w:t xml:space="preserve">"Перечень включает в себя наименование объектов государственного аудита и финансового контроля (далее – объекты государственного аудита), тип аудита и вид проверки, наименование аудиторского мероприятия, сроки осуществления государственного аудита и в случае необходимости прогноз по планируемым суммам охвата государственным аудитом бюджетных средств и активов государства с разбивкой по годам и другие параметры аудиторского мероприятия, с учетом функциональных особенностей органов государственного аудита. Допускается указание краткого наименования аудиторского мероприятия.";</w:t>
      </w:r>
    </w:p>
    <w:p>
      <w:r>
        <w:t xml:space="preserve">пункты 9 и 10 изложить в следующей редакции:</w:t>
      </w:r>
    </w:p>
    <w:p>
      <w:r>
        <w:t xml:space="preserve">"9. Уполномоченный орган и его территориальные подразделения, в случае проведения внепланового государственного аудита по основаниям, предусмотренным статьей 18 Закона в течение пяти рабочих дней, со дня начала проведения внепланового аудита, в целях исключения дублирования объектов государственного аудита и (или) бюджетных программ, а также принятия мер по снижению административной нагрузки на объекты государственного аудита направляет уведомление о проведении внепланового аудита, по форме согласно приложению 1-1 к настоящим Правилам в Счетный комитет, с приложением документов, явившихся основанием для проведения внепланового государственного аудита.</w:t>
      </w:r>
    </w:p>
    <w:p>
      <w:r>
        <w:t xml:space="preserve">Проведение Уполномоченным органом внепланового аудита по объектам государственного аудита и бюджетным программам, закрепленным в перечне и детализированном перечне Счетного комитета и ревизионных комиссий осуществляется только в случаях, предусмотренных статьей 18 Закона.</w:t>
      </w:r>
    </w:p>
    <w:p>
      <w:pPr>
        <w:pStyle w:val="Heading2"/>
      </w:pPr>
      <w:r>
        <w:t xml:space="preserve">Пункт 10</w:t>
      </w:r>
    </w:p>
    <w:p>
      <w:r>
        <w:t xml:space="preserve">10. Окончательные проекты перечней и детализированных перечней Счетного комитета и Уполномоченного органа направляются Счетным комитетом в ревизионные комиссии не позднее 10 ноября года, предшествующего планируемому, для проведения анализа республиканских бюджетных программ на предмет их использования местными исполнительными органами.";</w:t>
      </w:r>
    </w:p>
    <w:p>
      <w:r>
        <w:t xml:space="preserve">пункты 15 и 16 изложить в следующей редакции:</w:t>
      </w:r>
    </w:p>
    <w:p>
      <w:r>
        <w:t xml:space="preserve">"15. Обмен утвержденными перечнями и детализированными перечнями, с учетом изменений и (или) дополнений, осуществляется в течение пяти рабочих дней после их утверждения.</w:t>
      </w:r>
    </w:p>
    <w:p>
      <w:r>
        <w:t xml:space="preserve">Перечень и детализированный перечень Счетного комитета с внесенными изменениями и (или) дополнениями направляются в ревизионные комиссии в течение пяти рабочих дней со дня внесения в них изменений и (или) дополнений.</w:t>
      </w:r>
    </w:p>
    <w:p>
      <w:r>
        <w:t xml:space="preserve">Перечень и детализированный перечень Уполномоченного органа с внесенными изменениями и (или) дополнениями направляются Счетным комитетом в ревизионные комиссии в течение трех рабочих дней со дня их предоставления Уполномоченным органом.</w:t>
      </w:r>
    </w:p>
    <w:p>
      <w:pPr>
        <w:pStyle w:val="Heading2"/>
      </w:pPr>
      <w:r>
        <w:t xml:space="preserve">Пункт 16</w:t>
      </w:r>
    </w:p>
    <w:p>
      <w:r>
        <w:t xml:space="preserve">16. Ревизионные комиссии и территориальные подразделения Уполномоченного органа одной административно-территориальной единицы в срок до 5 декабря года, предшествующего планируемому, обмениваются проектами перечней и детализированными перечнями.";</w:t>
      </w:r>
    </w:p>
    <w:p>
      <w:r>
        <w:t xml:space="preserve">пункт 19 изложить в следующей редакции:</w:t>
      </w:r>
    </w:p>
    <w:p>
      <w:r>
        <w:t xml:space="preserve">"19. Ревизионными комиссиями и территориальными подразделениями Уполномоченного органа до 10 декабря года, предшествующего планируемому, проводится обсуждение проектов перечней и детализированных перечней в части исключения дублирования объектов государственного аудита и бюджетных программ у последнего либо их замены. По итогам обсуждения, проводимого в ревизионной комиссии, составляется протокол согласования.";</w:t>
      </w:r>
    </w:p>
    <w:p>
      <w:r>
        <w:t xml:space="preserve">пункты 21 и 22 изложить в следующей редакции:</w:t>
      </w:r>
    </w:p>
    <w:p>
      <w:r>
        <w:t xml:space="preserve">"21. Ревизионными комиссиями вносятся изменения и (или) дополнения в перечень и детализированный перечень в соответствии со статьей 18 Закона с информированием территориального подразделения Уполномоченного органа в течение пяти рабочих дней с момента внесения соответствующих изменений и (или) дополнений с соблюдением условий, предусмотренных пунктом 24 настоящих Правил.</w:t>
      </w:r>
    </w:p>
    <w:p>
      <w:pPr>
        <w:pStyle w:val="Heading2"/>
      </w:pPr>
      <w:r>
        <w:t xml:space="preserve">Пункт 22</w:t>
      </w:r>
    </w:p>
    <w:p>
      <w:r>
        <w:t xml:space="preserve">22. Территориальное подразделение Уполномоченного органа, в случае проведения внепланового государственного аудита по основаниям, предусмотренным статьей 18 Закона в течение пяти рабочих дней, со дня начала проведения внепланового аудита в целях исключения дублирования объектов государственного аудита и (или) бюджетных программ, а также принятия мер по снижению административной нагрузки на объекты государственного аудита направляет уведомление о проведении внепланового аудита, по форме согласно приложению 1-1 к настоящим Правилам в соответствующую ревизионную комиссию, с приложением соответствующих документов, явившихся основанием для проведения внепланового государственного аудита.";</w:t>
      </w:r>
    </w:p>
    <w:p>
      <w:r>
        <w:t xml:space="preserve">заголовок главы 3 изложить в следующей редакции:</w:t>
      </w:r>
    </w:p>
    <w:p>
      <w:r>
        <w:t xml:space="preserve">"Глава 3. Параллельные проверки, проводимые органами государственного аудита";</w:t>
      </w:r>
    </w:p>
    <w:p>
      <w:r>
        <w:t xml:space="preserve">пункт 29 изложить в следующей редакции:</w:t>
      </w:r>
    </w:p>
    <w:p>
      <w:r>
        <w:t xml:space="preserve">"29. Органы государственного аудита, участвующие в проведении параллельной проверки, на основе полученной информации от инициатора параллельной проверки о перечне вопросов, объектов государственного аудита, разрабатывают проекты планов и программ проведения параллельной проверки, при этом допускается расширение перечня основных проверяемых вопросов с включением своих дополнительных вопросов проверки. По проектам планов и программ аудита проводится контроль качества. Проекты планов и программ проверки не менее чем за семь рабочих дней до начала аудиторского мероприятия направляются для согласования органу государственного аудита, по инициативе которого проводится параллельная проверка, с учетом проведенного контроля качества (органами внешнего государственного аудита).";</w:t>
      </w:r>
    </w:p>
    <w:p>
      <w:r>
        <w:t xml:space="preserve">пункт 38 изложить в следующей редакции:</w:t>
      </w:r>
    </w:p>
    <w:p>
      <w:r>
        <w:t xml:space="preserve">"38. По результатам проведенной параллельной проверки, членами Счетного комитета и Ревизионных комиссий, ответственными за организацию и осуществление параллельной проверки, составляются отдельные аудиторские заключения. В аудиторском заключении Счетного комитета, при необходимости, для анализа могут быть включены результаты параллельной проверки, проведенной ревизионной комиссией.";</w:t>
      </w:r>
    </w:p>
    <w:p>
      <w:r>
        <w:t xml:space="preserve">пункт 40 изложить в следующей редакции:</w:t>
      </w:r>
    </w:p>
    <w:p>
      <w:r>
        <w:t xml:space="preserve">"40. Подготовка аудиторского заключения по результатам параллельной проверки, осуществляется после получения экспертного заключения контроля качества, аудиторских отчетов и результатов перепроверки аудиторского мероприятия с выездом на место (в случае ее проведения) в течение десяти рабочих дней, в случае охвата 15 и более объектов государственного аудита в течение пятнадцати рабочих дней после завершения проверки или с момента отправки мотивированного ответа на возражения объекта государственного аудита (если таковые имеются).";</w:t>
      </w:r>
    </w:p>
    <w:p>
      <w:r>
        <w:t xml:space="preserve">пункт 53 изложить в следующей редакции:</w:t>
      </w:r>
    </w:p>
    <w:p>
      <w:r>
        <w:t xml:space="preserve">"53. Ревизионные комиссии по итогам проведенной параллельной проверки со Счетным комитетом, территориальными подразделениями Уполномоченного органа подготавливают аналитическую информацию для включения в ежеквартальный отчет, представляемой Счетному комитету, годовой отчет об исполнении соответствующего бюджета, представляемый маслихатам.";</w:t>
      </w:r>
    </w:p>
    <w:p>
      <w:r>
        <w:t xml:space="preserve">заголовок главы 4 изложить в следующей редакции:</w:t>
      </w:r>
    </w:p>
    <w:p>
      <w:r>
        <w:t xml:space="preserve">"Глава 4. Совместные проверки органов внешнего государственного аудита и финансового контроля";</w:t>
      </w:r>
    </w:p>
    <w:p>
      <w:r>
        <w:t xml:space="preserve">пункты 62 , 63 и 64 изложить в следующей редакции:</w:t>
      </w:r>
    </w:p>
    <w:p>
      <w:r>
        <w:t xml:space="preserve">"62. В плане совместной проверки указываются основание для ее проведения, наименование объектов государственного аудита, цель аудита, тип аудита и вид проверки, объем средств, охватываемый проверкой, период и сроки проверки, необходимые ресурсы для проведения совместной проверки.</w:t>
      </w:r>
    </w:p>
    <w:p>
      <w:r>
        <w:t xml:space="preserve">В программе совместной проверки указываются ссылка на план совместной проверки, состав совместной группы проверки и ее руководитель, наименование объектов государственного аудита, предмет проверки, тип аудита и вид проверки, период охватываемый проверкой, сроки проведения проверки, объем средств, охватываемый проверкой, вопросы проверки и последовательность их рассмотрения, информационное и методологическое обеспечение проверки.</w:t>
      </w:r>
    </w:p>
    <w:p>
      <w:r>
        <w:t xml:space="preserve">По проектам планов и программ аудита совместной проверки проводится контроль качества.</w:t>
      </w:r>
    </w:p>
    <w:p>
      <w:pPr>
        <w:pStyle w:val="Heading2"/>
      </w:pPr>
      <w:r>
        <w:t xml:space="preserve">Пункт 63</w:t>
      </w:r>
    </w:p>
    <w:p>
      <w:r>
        <w:t xml:space="preserve">63. План совместной проверки подписывается членами Счетного комитета и ревизионных комиссий, ответственными за организацию и осуществление совместной проверки и утверждается председателями Счетного комитета и ревизионных комиссий, программа совместной проверки подписывается руководителями рабочих групп аудита Счетного комитета и ревизионных комиссий (после прохождения внутренних процедур согласования), ответственных за проведение совместной проверки, и утверждается членами Счетного комитета и ревизионных комиссий, ответственными за организацию и осуществление совместной проверки, в срок не менее чем за два рабочих дня до начала совместной проверки.</w:t>
      </w:r>
    </w:p>
    <w:p>
      <w:pPr>
        <w:pStyle w:val="Heading2"/>
      </w:pPr>
      <w:r>
        <w:t xml:space="preserve">Пункт 64</w:t>
      </w:r>
    </w:p>
    <w:p>
      <w:r>
        <w:t xml:space="preserve">64. Для проведения совместной проверки из представителей Счетного комитета и ревизионных комиссий формируется единая совместная группа или отдельная группа проверки каждой из сторон, распределение ее участников по объектам аудита и по уровням бюджета осуществляется под руководством члена Счетного комитета, ответственного за организацию и осуществление совместной проверки по согласованию с членами ревизионных комиссий, ответственными за организацию и осуществление проверки.";</w:t>
      </w:r>
    </w:p>
    <w:p>
      <w:r>
        <w:t xml:space="preserve">пункт 71 изложить в следующей редакции:</w:t>
      </w:r>
    </w:p>
    <w:p>
      <w:r>
        <w:t xml:space="preserve">"71. Письменные возражения к аудиторскому отчету рассматриваются членами Счетного комитета и ревизионных комиссий, ответственными за организацию и осуществление совместной проверки совместно с работниками, осуществлявшими проверку. Ответ объекту государственного аудита направляется в течение десяти рабочих дней тем органом внешнего государственного аудита, в адрес которого поступили письменные возражения.";</w:t>
      </w:r>
    </w:p>
    <w:p>
      <w:r>
        <w:t xml:space="preserve">пункты 73 и 74 изложить в следующей редакции:</w:t>
      </w:r>
    </w:p>
    <w:p>
      <w:r>
        <w:t xml:space="preserve">"73. Подготовка проекта аудиторского заключения осуществляется по результатам совместной проверки после прохождения внутреннего согласования с учетом мотивированного ответа объекту государственного аудита на возражения (если таковые имеются) в течение десяти рабочих дней под руководством члена Счетного комитета и с участием членов ревизионных комиссий, ответственных за организацию и осуществление совместной проверки, с привлечением участников группы проверки.</w:t>
      </w:r>
    </w:p>
    <w:p>
      <w:pPr>
        <w:pStyle w:val="Heading2"/>
      </w:pPr>
      <w:r>
        <w:t xml:space="preserve">Пункт 74</w:t>
      </w:r>
    </w:p>
    <w:p>
      <w:r>
        <w:t xml:space="preserve">74. Аудиторское заключение подписывается членами Счетного комитета и ревизионных комиссий, ответственными за организацию и осуществление совместной проверки, и выносится для рассмотрения на совместное заседание Счетного комитета и ревизионных комиссий. После подписания аудиторского заключения членами Счетного комитета и ревизионной комиссии, ответственными за организацию и осуществление совместной проверки, совместно с участниками группы проверки составляются сводный реестр выявленных нарушений, а также проект постановления об итогах совместной проверки.";</w:t>
      </w:r>
    </w:p>
    <w:p>
      <w:r>
        <w:t xml:space="preserve">пункты 81 и 82 изложить в следующей редакции:</w:t>
      </w:r>
    </w:p>
    <w:p>
      <w:r>
        <w:t xml:space="preserve">"81. Контроль за исполнением постановления и предписания по итогам совместной проверки, проведенной Счетным комитетом и ревизионными комиссиями, осуществляют члены Счетного комитета и ревизионной комиссии, ответственные за организацию и осуществление совместной проверки, в соответствии с их компетенцией.</w:t>
      </w:r>
    </w:p>
    <w:p>
      <w:pPr>
        <w:pStyle w:val="Heading2"/>
      </w:pPr>
      <w:r>
        <w:t xml:space="preserve">Пункт 82</w:t>
      </w:r>
    </w:p>
    <w:p>
      <w:r>
        <w:t xml:space="preserve">82. Обмен информацией о реализации пунктов постановления и предписания по итогам совместной проверки, проведенной Счетным комитетом и ревизионной комиссией, осуществляется в течение семи рабочих дней по истечении сроков исполнения, установленных в соответствующих постановлениях.</w:t>
      </w:r>
    </w:p>
    <w:p>
      <w:r>
        <w:t xml:space="preserve">По итогам проведенного контроля качества исполнения рекомендаций, содержащихся в Аудиторском заключении (в том числе совместном), и пунктов предписаний (постановлений) Счетного комитета, при наличии замечаний Счетного комитета к качеству информации, предоставленной ревизионной комиссией, Счетный комитет в течение пяти рабочих дней с даты завершения проведения контроля качества направляет ее на доработку в ревизионную комиссию.</w:t>
      </w:r>
    </w:p>
    <w:p>
      <w:r>
        <w:t xml:space="preserve">При отсутствии у Счетного комитета замечаний, информация ревизионной комиссии принимается к сведению и соответствующие пункты постановления и предписания совместной проверки считаются исполненными.";</w:t>
      </w:r>
    </w:p>
    <w:p>
      <w:r>
        <w:t xml:space="preserve">заголовок главы 5 изложить в следующей редакции:</w:t>
      </w:r>
    </w:p>
    <w:p>
      <w:r>
        <w:t xml:space="preserve">"Глава 5. Взаимодействие органов государственного аудита по результатам проведенных аудиторских мероприятий";</w:t>
      </w:r>
    </w:p>
    <w:p>
      <w:r>
        <w:t xml:space="preserve">пункты 89 и 90 изложить в следующей редакции:</w:t>
      </w:r>
    </w:p>
    <w:p>
      <w:r>
        <w:t xml:space="preserve">"89. Ревизионные комиссии направляют в Счетный комитет реестры не позднее 15 числа месяца, следующего за отчетным кварталом.</w:t>
      </w:r>
    </w:p>
    <w:p>
      <w:pPr>
        <w:pStyle w:val="Heading2"/>
      </w:pPr>
      <w:r>
        <w:t xml:space="preserve">Пункт 90</w:t>
      </w:r>
    </w:p>
    <w:p>
      <w:r>
        <w:t xml:space="preserve">90. Территориальные подразделения Уполномоченного органа направляют в Уполномоченный орган реестры не позднее 15 числа месяца, следующего за отчетным кварталом.";</w:t>
      </w:r>
    </w:p>
    <w:p>
      <w:r>
        <w:t xml:space="preserve">заголовок главы 6 изложить в следующей редакции:</w:t>
      </w:r>
    </w:p>
    <w:p>
      <w:r>
        <w:t xml:space="preserve">"Глава 6. Взаимодействие органов государственного аудита при формировании информации о показателях работы органов государственного аудита";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1 к настоящему совместному нормативному постановлению и приказу;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1-1 согласно приложению 2 к настоящему совместному нормативному постановлению и приказу;</w:t>
      </w:r>
    </w:p>
    <w:p>
      <w:pPr>
        <w:pStyle w:val="Heading2"/>
      </w:pPr>
      <w:r>
        <w:t xml:space="preserve">Приложение приложение 2 изложить в новой редакции согласно приложению 3 к настоящему совместному нормативному постановлению и приказу.</w:t>
      </w:r>
    </w:p>
    <w:p>
      <w:pPr>
        <w:pStyle w:val="Heading2"/>
      </w:pPr>
      <w:r>
        <w:t xml:space="preserve">Пункт 2</w:t>
      </w:r>
    </w:p>
    <w:p>
      <w:r>
        <w:t xml:space="preserve">2. Юридическому отделу Счетного комитета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нормативного постановления и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совместного нормативного постановления и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совместного нормативного постановления и приказа на интернет-ресурсе Счетного комитета.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нормативного постановления и приказа возложить на руководителя аппарата Счетного комитета и ответственного секретаря Министерства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Настоящее совместное нормативное постановление и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_____________Б. Султанов | Министр финансов Республики Казахстан _____________Б. Султанов | Председатель Счетного комитета по контролю за исполнением республиканского бюджета _______________Н. Годунова | Председатель Счетного комитета по контролю за исполнением республиканского бюджета _______________Н. Годунова |  |</w:t>
      </w:r>
    </w:p>
    <w:p>
      <w:r>
        <w:t xml:space="preserve">|---|---|---|---|---|</w:t>
      </w:r>
    </w:p>
    <w:p>
      <w:r>
        <w:t xml:space="preserve">| Министр финансов Республики Казахстан _____________Б. Султанов |  |  |  |  |</w:t>
      </w:r>
    </w:p>
    <w:p>
      <w:r>
        <w:t xml:space="preserve">| Председатель Счетного комитета по контролю за исполнением республиканского бюджета _______________Н. Годунова |  |  |  |  |</w:t>
      </w:r>
    </w:p>
    <w:p>
      <w:r>
        <w:t xml:space="preserve">|  | Приложение 1 к совместному нормативному постановлению Счетного комитета по контролю за исполнением республиканского бюджета от 9 апреля 2018 года № 11-НҚ и приказу Министра финансов Республики Казахстан от 9 апреля 2018 года № 448 |</w:t>
      </w:r>
    </w:p>
    <w:p>
      <w:r>
        <w:t xml:space="preserve">|---|---|</w:t>
      </w:r>
    </w:p>
    <w:p>
      <w:r>
        <w:t xml:space="preserve">|  | Приложение 1 к Правилам взаимодействия органов государственного аудита и финансового контроля |</w:t>
      </w:r>
    </w:p>
    <w:p>
      <w:r>
        <w:t xml:space="preserve">|  | Форма |</w:t>
      </w:r>
    </w:p>
    <w:p>
      <w:r>
        <w:t xml:space="preserve">|  | "Утверждаю" Должность первого руководителя органа государственного аудита, либо лица его замещающего ___________________________ фамилия, имя, отчество (при его наличии) (подпись) "__" __________ 20__ года |</w:t>
      </w:r>
    </w:p>
    <w:p>
      <w:pPr>
        <w:pStyle w:val="Heading2"/>
      </w:pPr>
      <w:r>
        <w:t xml:space="preserve">Глава Детализированный перечень объектов государственного аудита на ________ год</w:t>
      </w:r>
    </w:p>
    <w:p>
      <w:r>
        <w:t xml:space="preserve">| № | Наименование объектов государственного аудита | Тип аудита | Вид проверки | Наименование аудиторского мероприятия* | Прогнозируемый период охвата государственным аудитом объектов государственного аудита | Уровень бюджета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Прогноз по суммам охвата государственным аудитом бюджетных средств, активов (млн. тенге) (не подлежит корректировке в случае изменений) | Другие органы государственного аудита, участвующие в аудиторском мероприятии |  |  |  |  |  |  |</w:t>
      </w:r>
    </w:p>
    <w:p>
      <w:r>
        <w:t xml:space="preserve">|---|---|---|---|---|---|---|---|</w:t>
      </w:r>
    </w:p>
    <w:p>
      <w:r>
        <w:t xml:space="preserve">| Код администратора бюджетной программы | Номер бюджетной программы | Наименование бюджетной программы/активы | 20__ год | 20__ год | 20__ год | Всего |  |</w:t>
      </w:r>
    </w:p>
    <w:p>
      <w:r>
        <w:t xml:space="preserve">| 8 | 9 | 10 | 11 | 12 | 13 | 14 | 15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* допускается указание краткого наименования аудиторского мероприятия.</w:t>
      </w:r>
    </w:p>
    <w:p>
      <w:r>
        <w:t xml:space="preserve">|  | Приложение 2 к совместному нормативному постановлению Счетного комитета по контролю за исполнением республиканского бюджета от 9 апреля 2018 года № 11-НҚ и приказу Министра финансов Республики Казахстан от 9 апреля 2018 года № 448 |</w:t>
      </w:r>
    </w:p>
    <w:p>
      <w:r>
        <w:t xml:space="preserve">|---|---|</w:t>
      </w:r>
    </w:p>
    <w:p>
      <w:r>
        <w:t xml:space="preserve">|  | Приложение 1-1 к Правилам взаимодействия органов государственного аудита и финансового контроля |</w:t>
      </w:r>
    </w:p>
    <w:p>
      <w:r>
        <w:t xml:space="preserve">|  | форма |</w:t>
      </w:r>
    </w:p>
    <w:p>
      <w:pPr>
        <w:pStyle w:val="Heading2"/>
      </w:pPr>
      <w:r>
        <w:t xml:space="preserve">Глава Уведомление о проведении внепланового аудита</w:t>
      </w:r>
    </w:p>
    <w:p>
      <w:r>
        <w:t xml:space="preserve">| № | Администратор бюджетной программы | Наименование объекта государственного аудита | Основание для внепланового аудита | Тип государственного аудита | Вопрос аудиторского мероприятия | Период охвата | Код бюджетной программы (подпрограммы) (РБ, МБ) | Сумма охвата (в тыс. тенге)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 | Приложение 3 к совместному нормативному постановлению Счетного комитета по контролю за исполнением республиканского бюджета от 9 апреля 2018 года № 11-НҚ и приказу Министра финансов Республики Казахстан от 9 апреля 2018 года № 448 |</w:t>
      </w:r>
    </w:p>
    <w:p>
      <w:r>
        <w:t xml:space="preserve">|---|---|</w:t>
      </w:r>
    </w:p>
    <w:p>
      <w:r>
        <w:t xml:space="preserve">|  | Приложение 2 к Правилам взаимодействия органов государственного аудита и финансового контроля |</w:t>
      </w:r>
    </w:p>
    <w:p>
      <w:r>
        <w:t xml:space="preserve">|  | Форма |</w:t>
      </w:r>
    </w:p>
    <w:p>
      <w:r>
        <w:t xml:space="preserve">|  | "Утверждаю" Должность первого руководителя органа государственного аудита, либо лица его замещающего ____________________________ фамилия, имя, отчество (при его наличии) (подпись) "__" __________ 20__ года |</w:t>
      </w:r>
    </w:p>
    <w:p>
      <w:pPr>
        <w:pStyle w:val="Heading2"/>
      </w:pPr>
      <w:r>
        <w:t xml:space="preserve">Глава Реестр объектов государственного аудита и бюджетных программам, охваченным аудиторскими мероприятиями на _____ год</w:t>
      </w:r>
    </w:p>
    <w:p>
      <w:r>
        <w:t xml:space="preserve">| № | Наименование объектов государственного аудита | Тип аудита | Вид проверки | Основания для аудита | Наименование аудиторского мероприятия* | Прогнозируемый период охвата государственным аудитом объектов государственного аудита | Уровень бюджета |</w:t>
      </w:r>
    </w:p>
    <w:p>
      <w:r>
        <w:t xml:space="preserve">|---|---|---|---|---|---|---|---|</w:t>
      </w:r>
    </w:p>
    <w:p>
      <w:r>
        <w:t xml:space="preserve">| 1 | 2 | 3 | 4 | 5 | 6 | 7 | 8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Прогноз по суммам охвата государственным аудитом бюджетных средств, активов (млн. тенге) (не подлежит корректировке в случае изменений) | Другие органы государственного аудита, участвующие в аудиторском мероприятии |  |  |  |  |  |  |</w:t>
      </w:r>
    </w:p>
    <w:p>
      <w:r>
        <w:t xml:space="preserve">|---|---|---|---|---|---|---|---|</w:t>
      </w:r>
    </w:p>
    <w:p>
      <w:r>
        <w:t xml:space="preserve">| Код администратора бюджетной программы | Номер бюджетной программы | Наименование бюджетной программы/активы | 20__ год | 20__ год | 20__ год | Всего |  |</w:t>
      </w:r>
    </w:p>
    <w:p>
      <w:r>
        <w:t xml:space="preserve">| 9 | 10 | 11 | 12 | 13 | 14 | 15 | 16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* допускается указание краткого наименования аудиторского мероприятия.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