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стратегии и тактики применения органами государственных доходов системы управления рисками, а также Правил ее функционирования</w:t>
      </w:r>
    </w:p>
    <w:p>
      <w:r>
        <w:t xml:space="preserve">Правила, Приказ, Стратегия. Министерство финансов Республики Казахстан. от 01.02.2018. № 118828. редакция от 04.11.2019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451 Кодекса Республики Казахстан от 26 декабря 2017 года "О таможенном регулировании в Республике Казахстан"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стратегию и тактику применения органами государственных доходов системы управления рисками, а также Правила ее функционирования.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приказ Министра финансов Республики Казахстан от 31 марта 2015 года № 244 "Об утверждении Правил применения системы управления рисками в органах государственных доходов Республики Казахстан" (зарегистрированный в Реестре государственной регистрации нормативных правовых актов № 10945, опубликованный 19 мая 2015 года в информационно-правовой системе "Әділет").</w:t>
      </w:r>
    </w:p>
    <w:p>
      <w:pPr>
        <w:pStyle w:val="Heading2"/>
      </w:pPr>
      <w:r>
        <w:t xml:space="preserve">Пункт 3</w:t>
      </w:r>
    </w:p>
    <w:p>
      <w:r>
        <w:t xml:space="preserve">3. Комитету государственных доходов Министерства финансов Республики Казахстан (Тенгебаев А.М.)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финансов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1), 2) и 3)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Республики Казахстан | Б. Султанов |</w:t>
      </w:r>
    </w:p>
    <w:p>
      <w:r>
        <w:t xml:space="preserve">|---|---|</w:t>
      </w:r>
    </w:p>
    <w:p>
      <w:r>
        <w:t xml:space="preserve">|  | Утверждены приказом Министра финансов Республики Казахстан от 1 февраля 2018 года № 100 |</w:t>
      </w:r>
    </w:p>
    <w:p>
      <w:r>
        <w:t xml:space="preserve">|---|---|</w:t>
      </w:r>
    </w:p>
    <w:p>
      <w:pPr>
        <w:pStyle w:val="Heading2"/>
      </w:pPr>
      <w:r>
        <w:t xml:space="preserve">Глава Стратегия и тактика применения органами государственных доходов системы управления рисками, а также Правила ее функционирования</w:t>
      </w:r>
    </w:p>
    <w:p>
      <w:pPr>
        <w:pStyle w:val="Heading2"/>
      </w:pPr>
      <w:r>
        <w:t xml:space="preserve">Текст</w:t>
      </w:r>
    </w:p>
    <w:p>
      <w:r>
        <w:t xml:space="preserve">Сноска. Стратегия и тактика в редакции приказа Первого заместителя Премьер-Министра РК – Министра финансов РК от 04.11.2019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Стратегия и тактика применения органами государственных доходов системы управления рисками, а также Правила ее функционирования (далее – Стратегия) разработаны в соответствии с пунктом 4 статьи 451 Кодекса Республики Казахстан от 26 декабря 2017 года "О таможенном регулировании в Республике Казахстан" (далее – Кодекс).</w:t>
      </w:r>
    </w:p>
    <w:p>
      <w:pPr>
        <w:pStyle w:val="Heading2"/>
      </w:pPr>
      <w:r>
        <w:t xml:space="preserve">Пункт 2</w:t>
      </w:r>
    </w:p>
    <w:p>
      <w:r>
        <w:t xml:space="preserve">2. Целью Стратегии является установление единых подходов к управлению, реализации и дальнейшему совершенствованию системы управления рисками в органах государственных доходов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Стратегия определяет порядок функционирования системы управления рисками (далее – СУР), за исключением рисков в области санитарно-эпидемиологического, ветеринарного, карантинного, фитосанитарного, радиационного контроля (надзора).</w:t>
      </w:r>
    </w:p>
    <w:p>
      <w:pPr>
        <w:pStyle w:val="Heading2"/>
      </w:pPr>
      <w:r>
        <w:t xml:space="preserve">Пункт 4</w:t>
      </w:r>
    </w:p>
    <w:p>
      <w:r>
        <w:t xml:space="preserve">4. Для целей настоящей Стратегии используется следующее понятие:</w:t>
      </w:r>
    </w:p>
    <w:p>
      <w:pPr>
        <w:pStyle w:val="Heading2"/>
      </w:pPr>
      <w:r>
        <w:t xml:space="preserve">Подпункт 1</w:t>
      </w:r>
    </w:p>
    <w:p>
      <w:r>
        <w:t xml:space="preserve">1) актуализация профиля риска – внесение изменений в сведения, содержащиеся в профиле риска, либо отмена профиля риска.</w:t>
      </w:r>
    </w:p>
    <w:p>
      <w:pPr>
        <w:pStyle w:val="Heading2"/>
      </w:pPr>
      <w:r>
        <w:t xml:space="preserve">Глава 2 Стратегия применения системы управления рисками</w:t>
      </w:r>
    </w:p>
    <w:p>
      <w:pPr>
        <w:pStyle w:val="Heading2"/>
      </w:pPr>
      <w:r>
        <w:t xml:space="preserve">Пункт 5</w:t>
      </w:r>
    </w:p>
    <w:p>
      <w:r>
        <w:t xml:space="preserve">5. Стратегия применения СУР в органах государственных доходов направлена на достижение основных целей:</w:t>
      </w:r>
    </w:p>
    <w:p>
      <w:pPr>
        <w:pStyle w:val="Heading2"/>
      </w:pPr>
      <w:r>
        <w:t xml:space="preserve">Подпункт 1</w:t>
      </w:r>
    </w:p>
    <w:p>
      <w:r>
        <w:t xml:space="preserve">1) обеспечение эффективности таможенного контроля;</w:t>
      </w:r>
    </w:p>
    <w:p>
      <w:pPr>
        <w:pStyle w:val="Heading2"/>
      </w:pPr>
      <w:r>
        <w:t xml:space="preserve">Подпункт 2</w:t>
      </w:r>
    </w:p>
    <w:p>
      <w:r>
        <w:t xml:space="preserve">2) сосредоточение внимания на областях риска с высоким уровнем и обеспечение эффективного использования ресурсов органов государственных доходов;</w:t>
      </w:r>
    </w:p>
    <w:p>
      <w:pPr>
        <w:pStyle w:val="Heading2"/>
      </w:pPr>
      <w:r>
        <w:t xml:space="preserve">Подпункт 3</w:t>
      </w:r>
    </w:p>
    <w:p>
      <w:r>
        <w:t xml:space="preserve">3) создание условий для ускорения и упрощения перемещения через таможенную границу Евразийского экономического союза товаров, по которым не выявлена необходимость применения мер по минимизации рисков.</w:t>
      </w:r>
    </w:p>
    <w:p>
      <w:pPr>
        <w:pStyle w:val="Heading2"/>
      </w:pPr>
      <w:r>
        <w:t xml:space="preserve">Пункт 6</w:t>
      </w:r>
    </w:p>
    <w:p>
      <w:r>
        <w:t xml:space="preserve">6. Стратегия применения СУР осуществляется с учетом следующих основных принципов:</w:t>
      </w:r>
    </w:p>
    <w:p>
      <w:pPr>
        <w:pStyle w:val="Heading2"/>
      </w:pPr>
      <w:r>
        <w:t xml:space="preserve">Подпункт 1</w:t>
      </w:r>
    </w:p>
    <w:p>
      <w:r>
        <w:t xml:space="preserve">1) обеспечение соблюдения требований таможенного законодательства;</w:t>
      </w:r>
    </w:p>
    <w:p>
      <w:pPr>
        <w:pStyle w:val="Heading2"/>
      </w:pPr>
      <w:r>
        <w:t xml:space="preserve">Подпункт 2</w:t>
      </w:r>
    </w:p>
    <w:p>
      <w:r>
        <w:t xml:space="preserve">2) обеспечение прав, свобод и законных интересов лиц, перемещающих товары через таможенную границу Евразийского экономического союза, а также лиц, осуществляющих деятельность в сфере таможенного дела;</w:t>
      </w:r>
    </w:p>
    <w:p>
      <w:pPr>
        <w:pStyle w:val="Heading2"/>
      </w:pPr>
      <w:r>
        <w:t xml:space="preserve">Подпункт 3</w:t>
      </w:r>
    </w:p>
    <w:p>
      <w:r>
        <w:t xml:space="preserve">3) соблюдение единого применения СУР на всех этапах таможенного контроля;</w:t>
      </w:r>
    </w:p>
    <w:p>
      <w:pPr>
        <w:pStyle w:val="Heading2"/>
      </w:pPr>
      <w:r>
        <w:t xml:space="preserve">Подпункт 4</w:t>
      </w:r>
    </w:p>
    <w:p>
      <w:r>
        <w:t xml:space="preserve">4) обеспечение направления СУР на профилактику правонарушений и (или) выбор объектов таможенного контроля с целью выявления правонарушений и минимизации рисков;</w:t>
      </w:r>
    </w:p>
    <w:p>
      <w:pPr>
        <w:pStyle w:val="Heading2"/>
      </w:pPr>
      <w:r>
        <w:t xml:space="preserve">Подпункт 5</w:t>
      </w:r>
    </w:p>
    <w:p>
      <w:r>
        <w:t xml:space="preserve">5) формирование СУР на основе имеющейся информации;</w:t>
      </w:r>
    </w:p>
    <w:p>
      <w:pPr>
        <w:pStyle w:val="Heading2"/>
      </w:pPr>
      <w:r>
        <w:t xml:space="preserve">Подпункт 6</w:t>
      </w:r>
    </w:p>
    <w:p>
      <w:r>
        <w:t xml:space="preserve">6) обеспечение прозрачности и открытости информации не являющейся конфиденциальной;</w:t>
      </w:r>
    </w:p>
    <w:p>
      <w:pPr>
        <w:pStyle w:val="Heading2"/>
      </w:pPr>
      <w:r>
        <w:t xml:space="preserve">Подпункт 7</w:t>
      </w:r>
    </w:p>
    <w:p>
      <w:r>
        <w:t xml:space="preserve">7) обеспечение систематичности, структурированности СУР и проведение своевременной актуализации профилей рисков;</w:t>
      </w:r>
    </w:p>
    <w:p>
      <w:pPr>
        <w:pStyle w:val="Heading2"/>
      </w:pPr>
      <w:r>
        <w:t xml:space="preserve">Подпункт 8</w:t>
      </w:r>
    </w:p>
    <w:p>
      <w:r>
        <w:t xml:space="preserve">8) дифференцированного применения мер по минимизации рисков в соответствии с пунктом 2 статьи 452 Кодекса в целях использования субъектно-ориентированного подхода.</w:t>
      </w:r>
    </w:p>
    <w:p>
      <w:pPr>
        <w:pStyle w:val="Heading2"/>
      </w:pPr>
      <w:r>
        <w:t xml:space="preserve">Глава 3 Тактика применения органами государственных доходов системы управления рисками, а также порядок ее функционирования</w:t>
      </w:r>
    </w:p>
    <w:p>
      <w:pPr>
        <w:pStyle w:val="Heading2"/>
      </w:pPr>
      <w:r>
        <w:t xml:space="preserve">Пункт 7</w:t>
      </w:r>
    </w:p>
    <w:p>
      <w:r>
        <w:t xml:space="preserve">7. Тактика применения СУР предусматривает реализацию процесса управления рисками на всех этапах таможенного контроля и основывается на планировании и организации деятельности органов государственных доходов по управлению рисками с учетом целей, предусмотренных пунктом 5 Стратегии, а также оптимальном распределении ресурсов органов государственных доходов для организации воздействия на риски в зависимости от таможенных операций и этапов таможенного контроля.</w:t>
      </w:r>
    </w:p>
    <w:p>
      <w:pPr>
        <w:pStyle w:val="Heading2"/>
      </w:pPr>
      <w:r>
        <w:t xml:space="preserve">Пункт 8</w:t>
      </w:r>
    </w:p>
    <w:p>
      <w:r>
        <w:t xml:space="preserve">8. Органы государственных доходов применяют СУР для определения товаров, транспортных средств международной перевозки, документов и лиц, подлежащих таможенному контролю, а также мер по минимизации риска, применяемых к ним, и степени проведения таможенного контроля.</w:t>
      </w:r>
    </w:p>
    <w:p>
      <w:pPr>
        <w:pStyle w:val="Heading2"/>
      </w:pPr>
      <w:r>
        <w:t xml:space="preserve">Пункт 9</w:t>
      </w:r>
    </w:p>
    <w:p>
      <w:r>
        <w:t xml:space="preserve">9. Применение СУР при таможенном контроле осуществляется в двух направлениях: до выпуска товаров и после выпуска товаров.</w:t>
      </w:r>
    </w:p>
    <w:p>
      <w:pPr>
        <w:pStyle w:val="Heading2"/>
      </w:pPr>
      <w:r>
        <w:t xml:space="preserve">Пункт 10</w:t>
      </w:r>
    </w:p>
    <w:p>
      <w:r>
        <w:t xml:space="preserve">10. Порядок функционирования СУР при проведении таможенного контроля основывается на процессе управления рисками, предусмотренным пунктом 1 статьи 452 Кодекса.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