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31 июля 2009 года № 1167 "Об утверждении Правил оформления, представления и предварительной оценки материалов участников конкурса на соискание премии Президента Республики Казахстан "Алтын сапа" и Правил оформления, представления и предварительной экспертной оценки материалов и продукции, представляемых на региональный и республиканский конкурсы-выставки "Лучший товар Казахстана"</w:t>
      </w:r>
    </w:p>
    <w:p>
      <w:r>
        <w:t xml:space="preserve">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10.08.2023. № 184902. редакция от 10.08.2023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01.01.2024.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31 июля 2009 года № 1167 "Об утверждении Правил оформления, представления и предварительной оценки материалов участников конкурса на соискание премии Президента Республики Казахстан "Алтын сапа" и Правил оформления, представления и предварительной экспертной оценки материалов и продукции, представляемых на региональный и республиканский конкурсы-выставки "Лучший товар Казахстана" следующее изменение:</w:t>
      </w:r>
    </w:p>
    <w:p>
      <w:r>
        <w:t xml:space="preserve">в Правилах оформления, представления и предварительной оценки материалов участников конкурса на соискание премии Президента Республики Казахстан "Алтын сапа", утвержденных указанным постановлением:</w:t>
      </w:r>
    </w:p>
    <w:p>
      <w:pPr>
        <w:pStyle w:val="Heading2"/>
      </w:pPr>
      <w:r>
        <w:t xml:space="preserve">Приложение приложение 5 к указанным Правилам изложить в новой редакции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 1 января 2024 года и подлежит официальному опубликованию.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от " " 2023 года № |</w:t>
      </w:r>
    </w:p>
    <w:p>
      <w:r>
        <w:t xml:space="preserve">|---|---|</w:t>
      </w:r>
    </w:p>
    <w:p>
      <w:r>
        <w:t xml:space="preserve">|  | Приложение 5 к Правилам оформления, представления и предварительной оценки материалов участников конкурса на соискание премии Президента Республики Казахстан "Алтын сапа" |</w:t>
      </w:r>
    </w:p>
    <w:p>
      <w:pPr>
        <w:pStyle w:val="Heading2"/>
      </w:pPr>
      <w:r>
        <w:t xml:space="preserve">Глава Сводная таблица оценки ___________________________________________________________________ (наименование юридического лица/индивидуального предпринимателя)</w:t>
      </w:r>
    </w:p>
    <w:p>
      <w:r>
        <w:t xml:space="preserve">| Критерии и составляющие критериев | Максимальная оценка в баллах | Самооценка в баллах | Оценки в баллах |  |  |</w:t>
      </w:r>
    </w:p>
    <w:p>
      <w:r>
        <w:t xml:space="preserve">|---|---|---|---|---|---|</w:t>
      </w:r>
    </w:p>
    <w:p>
      <w:r>
        <w:t xml:space="preserve">| Экспертная группа в регионе | Экспертная группа организатора конкурса | По итогам выезда на предприятия |  |  |  |</w:t>
      </w:r>
    </w:p>
    <w:p>
      <w:r>
        <w:t xml:space="preserve">| 1 | 2 | 3 | 4 | 5 | 6 |</w:t>
      </w:r>
    </w:p>
    <w:p>
      <w:r>
        <w:t xml:space="preserve">| Критерии, характеризующие целеполагание (1.1-2.4) | 200 |  |  |  |  |</w:t>
      </w:r>
    </w:p>
    <w:p>
      <w:r>
        <w:t xml:space="preserve">| 1. Цель, видение и стратегия | 100 |  |  |  |  |</w:t>
      </w:r>
    </w:p>
    <w:p>
      <w:r>
        <w:t xml:space="preserve">| 1.1 Определение цели и видения | 20 |  |  |  |  |</w:t>
      </w:r>
    </w:p>
    <w:p>
      <w:r>
        <w:t xml:space="preserve">| 1.2 Определение и понимание потребностей заинтересованных сторон | 20 |  |  |  |  |</w:t>
      </w:r>
    </w:p>
    <w:p>
      <w:r>
        <w:t xml:space="preserve">| 1.3 Понимание экосистемы, собственных возможностей и основных вызовов | 20 |  |  |  |  |</w:t>
      </w:r>
    </w:p>
    <w:p>
      <w:r>
        <w:t xml:space="preserve">| 1 | 2 | 3 | 4 | 5 | 6 |</w:t>
      </w:r>
    </w:p>
    <w:p>
      <w:r>
        <w:t xml:space="preserve">| 1.4 Разработка стратегии | 20 |  |  |  |  |</w:t>
      </w:r>
    </w:p>
    <w:p>
      <w:r>
        <w:t xml:space="preserve">| 1.5 Разработка и внедрение системы менеджмента и управления результативностью | 20 |  |  |  |  |</w:t>
      </w:r>
    </w:p>
    <w:p>
      <w:r>
        <w:t xml:space="preserve">| 2. Организационная культура и лидерство | 100 |  |  |  |  |</w:t>
      </w:r>
    </w:p>
    <w:p>
      <w:r>
        <w:t xml:space="preserve">| 2.1 Управление культурой и создание ценностей организации | 25 |  |  |  |  |</w:t>
      </w:r>
    </w:p>
    <w:p>
      <w:r>
        <w:t xml:space="preserve">| 2.2 Создание условий для реализации изменений | 25 |  |  |  |  |</w:t>
      </w:r>
    </w:p>
    <w:p>
      <w:r>
        <w:t xml:space="preserve">| 2.3 Внедрение творчества и инноваций | 25 |  |  |  |  |</w:t>
      </w:r>
    </w:p>
    <w:p>
      <w:r>
        <w:t xml:space="preserve">| 2.4 Объединение людей и вовлечение их в процесс достижения цели, видения и стратегии | 25 |  |  |  |  |</w:t>
      </w:r>
    </w:p>
    <w:p>
      <w:r>
        <w:t xml:space="preserve">| Критерии, характеризующие действия (3.1-5.5) | 400 |  |  |  |  |</w:t>
      </w:r>
    </w:p>
    <w:p>
      <w:r>
        <w:t xml:space="preserve">| 3. Вовлечение заинтересованных сторон | 100* |  |  |  |  |</w:t>
      </w:r>
    </w:p>
    <w:p>
      <w:r>
        <w:t xml:space="preserve">| 3.1 Потребители: построение устойчивых взаимоотношений | ___(10...40) |  |  |  |  |</w:t>
      </w:r>
    </w:p>
    <w:p>
      <w:r>
        <w:t xml:space="preserve">| 3.2 Люди: подбор, вовлечение, развитие и удержание | ___(10...40) |  |  |  |  |</w:t>
      </w:r>
    </w:p>
    <w:p>
      <w:r>
        <w:t xml:space="preserve">| 3.3 Заинтересованные стороны в бизнесе и органах власти: надежная и постоянная поддержка организации | ___(10...40) |  |  |  |  |</w:t>
      </w:r>
    </w:p>
    <w:p>
      <w:r>
        <w:t xml:space="preserve">| 1 | 2 | 3 | 4 | 5 | 6 |</w:t>
      </w:r>
    </w:p>
    <w:p>
      <w:r>
        <w:t xml:space="preserve">| 3.4 Общество: содействие развитию, благополучию и процветанию | ___(10...40) |  |  |  |  |</w:t>
      </w:r>
    </w:p>
    <w:p>
      <w:r>
        <w:t xml:space="preserve">| 3.5 Партнеры и поставщики: выстраивание взаимовыгодных отношений и обеспечение их поддержки для создания устойчивой ценности | ___(10...40) |  |  |  |  |</w:t>
      </w:r>
    </w:p>
    <w:p>
      <w:r>
        <w:t xml:space="preserve">| 4. Создание устойчивой ценности | 200 |  |  |  |  |</w:t>
      </w:r>
    </w:p>
    <w:p>
      <w:r>
        <w:t xml:space="preserve">| 4.1 Разработка ценностей и методы их создания | 50 |  |  |  |  |</w:t>
      </w:r>
    </w:p>
    <w:p>
      <w:r>
        <w:t xml:space="preserve">| 4.2 Коммуникации и продвижение ценностей | 50 |  |  |  |  |</w:t>
      </w:r>
    </w:p>
    <w:p>
      <w:r>
        <w:t xml:space="preserve">| 4.3 Создание ценностей | 50 |  |  |  |  |</w:t>
      </w:r>
    </w:p>
    <w:p>
      <w:r>
        <w:t xml:space="preserve">| 4.4 Выявление и использование лучших практик в организации | 50 |  |  |  |  |</w:t>
      </w:r>
    </w:p>
    <w:p>
      <w:r>
        <w:t xml:space="preserve">| 5. Управление результативностью и трансформацией | 100 |  |  |  |  |</w:t>
      </w:r>
    </w:p>
    <w:p>
      <w:r>
        <w:t xml:space="preserve">| 5.1 Управление результативностью и рисками | 20 |  |  |  |  |</w:t>
      </w:r>
    </w:p>
    <w:p>
      <w:r>
        <w:t xml:space="preserve">| 5.2 Трансформация и создание организации будущего | 20 |  |  |  |  |</w:t>
      </w:r>
    </w:p>
    <w:p>
      <w:r>
        <w:t xml:space="preserve">| 5.3 Управление инновациями и технологиями замкнутого цикла | 20 |  |  |  |  |</w:t>
      </w:r>
    </w:p>
    <w:p>
      <w:r>
        <w:t xml:space="preserve">| 5.4 Управление данными, информацией и знаниями | 20 |  |  |  |  |</w:t>
      </w:r>
    </w:p>
    <w:p>
      <w:r>
        <w:t xml:space="preserve">| 1 | 2 | 3 | 4 | 5 | 6 |</w:t>
      </w:r>
    </w:p>
    <w:p>
      <w:r>
        <w:t xml:space="preserve">| 5.5 Управление активами и ресурсами | 20 |  |  |  |  |</w:t>
      </w:r>
    </w:p>
    <w:p>
      <w:r>
        <w:t xml:space="preserve">| Критерии, характеризующие результаты (6-7) | 400 |  |  |  |  |</w:t>
      </w:r>
    </w:p>
    <w:p>
      <w:r>
        <w:t xml:space="preserve">| 6. Результаты восприятия заинтересованных сторон | 200 |  |  |  |  |</w:t>
      </w:r>
    </w:p>
    <w:p>
      <w:r>
        <w:t xml:space="preserve">| 7. Стратегические и операционные результаты | 200 |  |  |  |  |</w:t>
      </w:r>
    </w:p>
    <w:p>
      <w:r>
        <w:t xml:space="preserve">| Итого: | 1000 |  |  |  |  |</w:t>
      </w:r>
    </w:p>
    <w:p>
      <w:pPr>
        <w:pStyle w:val="Heading2"/>
      </w:pPr>
      <w:r>
        <w:t xml:space="preserve">Текст</w:t>
      </w:r>
    </w:p>
    <w:p>
      <w:r>
        <w:t xml:space="preserve">Выводы:____________________________________________________________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Предложения:_______________________________________________________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"___" ______________г. _________________</w:t>
      </w:r>
    </w:p>
    <w:p>
      <w:pPr>
        <w:pStyle w:val="Heading2"/>
      </w:pPr>
      <w:r>
        <w:t xml:space="preserve">Текст</w:t>
      </w:r>
    </w:p>
    <w:p>
      <w:r>
        <w:t xml:space="preserve">Ф.И.О. 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(подпись председателя экспертной группы)</w:t>
      </w:r>
    </w:p>
    <w:p>
      <w:pPr>
        <w:pStyle w:val="Heading2"/>
      </w:pPr>
      <w:r>
        <w:t xml:space="preserve">Текст</w:t>
      </w:r>
    </w:p>
    <w:p>
      <w:r>
        <w:t xml:space="preserve">*Организации следует самой установить весомость составляющих до начала оценивания. Каждая составляющая может иметь весомость от 10 до 40 баллов. Весомость устанавливается с округлением до 5 баллов. Общая сумма составляющих по критерию должна составлять 100 баллов.</w:t>
      </w:r>
    </w:p>
    <w:p>
      <w:pPr>
        <w:pStyle w:val="Heading2"/>
      </w:pPr>
      <w:r>
        <w:t xml:space="preserve">Текст</w:t>
      </w:r>
    </w:p>
    <w:p>
      <w:r>
        <w:t xml:space="preserve">__________________________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