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21 ноября 2014 года № 1219 "Об утверждении Правил принятия, оценки, хранения, возврата, реализации, обращения взыскания на предмет залога и обращения залога в доход государства"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14.04.2022. № 166530. редакция от 14.04.2022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21 ноября 2014 года № 1219 "Об утверждении Правил принятия, оценки, хранения, возврата, реализации, обращения взыскания на предмет залога и обращения залога в доход государства" следующие изменения:</w:t>
      </w:r>
    </w:p>
    <w:p>
      <w:r>
        <w:t xml:space="preserve">в Правилах принятия, оценки, хранения, возврата, реализации, обращения взыскания на предмет залога и обращения залога в доход государства, утвержденных указанным постановлением:</w:t>
      </w:r>
    </w:p>
    <w:p>
      <w:r>
        <w:t xml:space="preserve">заголовок главы 1 изложить в следующей редакции:</w:t>
      </w:r>
    </w:p>
    <w:p>
      <w:r>
        <w:t xml:space="preserve">"Глава 1. Общие положения";</w:t>
      </w:r>
    </w:p>
    <w:p>
      <w:r>
        <w:t xml:space="preserve">часть вторую пункта 2 изложить в следующей редакции:</w:t>
      </w:r>
    </w:p>
    <w:p>
      <w:r>
        <w:t xml:space="preserve">"К драгоценностям относятся драгоценные металлы (золото, серебро, платина и металлы платиновой группы (палладий, иридий, родий, рутений и осмий) в любом состоянии и виде) и драгоценные камни (природные алмазы, изумруды, рубины, сапфиры и александриты, а также природный жемчуг в сыром (естественном) и обработанном виде). К драгоценным камням приравниваются уникальные янтарные образования.";</w:t>
      </w:r>
    </w:p>
    <w:p>
      <w:r>
        <w:t xml:space="preserve">подпункт 2) пункта 3 изложить в следующей редакции:</w:t>
      </w:r>
    </w:p>
    <w:p>
      <w:r>
        <w:t xml:space="preserve">"2) из движимого имущества – деньги, ценности, транспортные средства и ценные бумаги.";</w:t>
      </w:r>
    </w:p>
    <w:p>
      <w:r>
        <w:t xml:space="preserve">заголовок главы 2 изложить в следующей редакции:</w:t>
      </w:r>
    </w:p>
    <w:p>
      <w:r>
        <w:t xml:space="preserve">"Глава 2. Порядок принятия залога";</w:t>
      </w:r>
    </w:p>
    <w:p>
      <w:r>
        <w:t xml:space="preserve">часть вторую пункта 4 изложить в следующей редакции:</w:t>
      </w:r>
    </w:p>
    <w:p>
      <w:r>
        <w:t xml:space="preserve">"В случае, если залогодателем выступает юридическое лицо, орган проверяет его на предмет регистрации по учетам органов юстиции или Государственной корпорации "Правительство для граждан".";</w:t>
      </w:r>
    </w:p>
    <w:p>
      <w:r>
        <w:t xml:space="preserve">пункт 6 изложить в следующей редакции:</w:t>
      </w:r>
    </w:p>
    <w:p>
      <w:r>
        <w:t xml:space="preserve">"6. При необходимости документы, определяющие стоимость залогового имущества, могут выдаваться уполномоченными органами либо в порядке, установленном законодательством об оценочной деятельности Республики Казахстан.</w:t>
      </w:r>
    </w:p>
    <w:p>
      <w:r>
        <w:t xml:space="preserve">Стоимость ценных бумаг определяется в соответствии с законодательством о рынке ценных бумаг на момент внесения залога.";</w:t>
      </w:r>
    </w:p>
    <w:p>
      <w:r>
        <w:t xml:space="preserve">пункты 8 и 9 изложить в следующей редакции:</w:t>
      </w:r>
    </w:p>
    <w:p>
      <w:r>
        <w:t xml:space="preserve">"8. При передаче в залог ценных бумаг залогодатель также представляет содержащиеся в Национальном реестре бизнес-идентификационных номеров сведения из налоговых органов о том, что эмитент ценных бумаг не находится в процессе ликвидации и не прекратил свою деятельность.</w:t>
      </w:r>
    </w:p>
    <w:p>
      <w:pPr>
        <w:pStyle w:val="Heading2"/>
      </w:pPr>
      <w:r>
        <w:t xml:space="preserve">Пункт 9</w:t>
      </w:r>
    </w:p>
    <w:p>
      <w:r>
        <w:t xml:space="preserve">9. Протокол о принятии залога приобщается к материалам дела, а залогодателю вручается заверенная копия протокола. Если залогодателей несколько, то заверенная должностным лицом копия протокола вручается каждому из них.";</w:t>
      </w:r>
    </w:p>
    <w:p>
      <w:r>
        <w:t xml:space="preserve">заголовок главы 3 изложить в следующей редакции:</w:t>
      </w:r>
    </w:p>
    <w:p>
      <w:r>
        <w:t xml:space="preserve">"Глава 3. Порядок хранения залога";</w:t>
      </w:r>
    </w:p>
    <w:p>
      <w:r>
        <w:t xml:space="preserve">подпункт 5) пункта 12 изложить в следующей редакции:</w:t>
      </w:r>
    </w:p>
    <w:p>
      <w:r>
        <w:t xml:space="preserve">"5) ценные бумаги – в органе, который принял их в качестве залога, либо банках второго уровня;";</w:t>
      </w:r>
    </w:p>
    <w:p>
      <w:r>
        <w:t xml:space="preserve">заголовок главы 4 изложить в следующей редакции:</w:t>
      </w:r>
    </w:p>
    <w:p>
      <w:r>
        <w:t xml:space="preserve">"Глава 4. Порядок возврата залога";</w:t>
      </w:r>
    </w:p>
    <w:p>
      <w:r>
        <w:t xml:space="preserve">абзацы первый и пятый пункта 17 изложить в следующей редакции:</w:t>
      </w:r>
    </w:p>
    <w:p>
      <w:r>
        <w:t xml:space="preserve">"17. Возврат залога в случаях, предусмотренных подпунктами 1), 3) и 4) пункта 16 Правил, осуществляется на основании постановления органа досудебного расследования или следственного судьи при отмене или изменении меры пресечения в виде залога в соответствии с частью пятой статьи 153 УПК.";</w:t>
      </w:r>
    </w:p>
    <w:p>
      <w:r>
        <w:t xml:space="preserve">"К заявлению прилагаются:</w:t>
      </w:r>
    </w:p>
    <w:p>
      <w:pPr>
        <w:pStyle w:val="Heading2"/>
      </w:pPr>
      <w:r>
        <w:t xml:space="preserve">Подпункт 1</w:t>
      </w:r>
    </w:p>
    <w:p>
      <w:r>
        <w:t xml:space="preserve">1) копия документа, подтверждающего личность залогодателя;</w:t>
      </w:r>
    </w:p>
    <w:p>
      <w:pPr>
        <w:pStyle w:val="Heading2"/>
      </w:pPr>
      <w:r>
        <w:t xml:space="preserve">Подпункт 2</w:t>
      </w:r>
    </w:p>
    <w:p>
      <w:r>
        <w:t xml:space="preserve">2) оригинал справки из банка второго уровня о наличии текущего счета;</w:t>
      </w:r>
    </w:p>
    <w:p>
      <w:pPr>
        <w:pStyle w:val="Heading2"/>
      </w:pPr>
      <w:r>
        <w:t xml:space="preserve">Подпункт 3</w:t>
      </w:r>
    </w:p>
    <w:p>
      <w:r>
        <w:t xml:space="preserve">3) копия приговора суда или постановления следственного судьи об отмене или изменении меры пресечения, постановления лица, осуществляющего досудебное расследование, об отмене или изменении меры пресечения, согласованного с прокурором, либо постановления о прекращении уголовного дела или уголовного преследования в отношении отдельных подозреваемых, утвержденного прокурором.";</w:t>
      </w:r>
    </w:p>
    <w:p>
      <w:r>
        <w:t xml:space="preserve">заголовок главы 5 изложить в следующей редакции:</w:t>
      </w:r>
    </w:p>
    <w:p>
      <w:r>
        <w:t xml:space="preserve">"Глава 5. Порядок реализации, обращения взыскания на предмет залога и обращения залога в доход государства".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