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и дополнений в постановление Правительства Республики Казахстан от 8 февраля 2011 года № 94 "О Стратегическом плане Министерства финансов Республики Казахстан на 2011 - 2015 годы"</w:t>
      </w:r>
    </w:p>
    <w:p>
      <w:r>
        <w:t xml:space="preserve">Постановление, Изменения, Дополнения. Правительство Республики Казахстан (Премьер-Министр РК)(старое название: Кабинет Министров Казахской ССР; Кабинет Министров РК; Премьер-Министр Казахской ССР; Совет Министров Казахской ССР; Совет народных комиссаров Казахской ССР). от 19.04.2012. № 497. редакция от 19.04.2012</w:t>
      </w:r>
    </w:p>
    <w:p>
      <w:pPr>
        <w:pStyle w:val="Heading2"/>
      </w:pPr>
      <w:r>
        <w:t xml:space="preserve">Текст</w:t>
      </w:r>
    </w:p>
    <w:p>
      <w:r>
        <w:t xml:space="preserve">Правительство Республики Казахстан ПОСТАНОВЛЯЕТ: 1. Внести в постановление Правительства Республики Казахстан от 8 февраля 2011 года № 94 «О Стратегическом плане Министерства финансов Республики Казахстан на 2011 – 2015 годы» (САПП Республики Казахстан, 2011 г., № 18, ст. 211) следующие изменения и дополнения: в Стратегическом плане Министерства финансов Республики Казахстан на 2011 – 2015 годы, утвержденном указанным постановлением: в разделе «2. Анализ текущей ситуации и тенденции развития соответствующих отраслей (сфер) деятельности»: в стратегическом направлении «1. Формирование бюджета, ориентированного на результат»: абзац девятнадцатый изложить в следующей редакции: «В этой связи, в предстоящем среднесрочном периоде планируется развивать дальнейшее сотрудничество Республики Казахстан в области международных кредитных отношений с различными международными финансовыми институтами, в том числе, такими как МБРР, АБР, ЕБРР, ЯАМС, ИБР, ЕИБ, ЕАБР и т.п. для реализации совместных проектов и программ. Министерство финансов Республики Казахстан уполномочено обеспечивать выплаты от имени Республики Казахстан МБРР, МФК, МАР, МАГИ, ЕБРР, АБР, ИБР, ЕАБР и т.п. сумм согласно условиям соответствующих соглашений, относящихся к членству Республики Казахстан в этих международных институтах.»; дополнить абзацем двадцатым следующего содержания: «В соответствии со Стратегическим планом развития Республики Казахстан до 2020 года Казахстан продолжит курс на усиление разноскоростной и многоуровневой интеграции в Центральной Азии, на евразийском пространстве. В связи с чем необходимо своевременное исполнение финансовых обязательств Республики Казахстан, принятых в рамках учредительных документов Антикризисного фонда ЕврАзЭС, в целях обеспечения условий и предпосылок для экономической интеграции.»; в разделе «3. Стратегические направления, цели, задачи, целевые индикаторы, мероприятия и показатели результатов»: в подразделе «3.1. Стратегические направления, цели, задачи, целевые индикаторы, мероприятия и показатели результатов»: в стратегическом направлении «1. Совершенствование бюджета, ориентированного на результат»: в цели «1.2. Повышение качества исполнения бюджета, эффективности расходов и финансовой дисциплины, а также удержание государственного долга на безопасном уровне»: в задаче «1.2.2. Повышение качества казначейского обслуживания исполнения бюджетов и счетов государственных учреждений»: строку «</w:t>
      </w:r>
    </w:p>
    <w:p>
      <w:r>
        <w:t xml:space="preserve">| Сокращение времени обработки счетов к оплате и заявок на регистрацию ГПС | Отчеты ТПК | раб/ часы | - | - | - | 24 | 16 | 16 | 16 |</w:t>
      </w:r>
    </w:p>
    <w:p>
      <w:r>
        <w:t xml:space="preserve">|---|---|---|---|---|---|---|---|---|---|</w:t>
      </w:r>
    </w:p>
    <w:p>
      <w:pPr>
        <w:pStyle w:val="Heading2"/>
      </w:pPr>
      <w:r>
        <w:t xml:space="preserve">Текст</w:t>
      </w:r>
    </w:p>
    <w:p>
      <w:r>
        <w:t xml:space="preserve">» изложить в следующей редакции: «</w:t>
      </w:r>
    </w:p>
    <w:p>
      <w:r>
        <w:t xml:space="preserve">| Сокращение времени обслуживания государственных учреждений и обработки заявок на регистрацию ГПС через ИС «Казначейство Клиент» | Отчеты ТПК | раб/часы | - | - | - | 16 | 8 | 8 | 8 |</w:t>
      </w:r>
    </w:p>
    <w:p>
      <w:r>
        <w:t xml:space="preserve">|---|---|---|---|---|---|---|---|---|---|</w:t>
      </w:r>
    </w:p>
    <w:p>
      <w:pPr>
        <w:pStyle w:val="Heading2"/>
      </w:pPr>
      <w:r>
        <w:t xml:space="preserve">Текст</w:t>
      </w:r>
    </w:p>
    <w:p>
      <w:r>
        <w:t xml:space="preserve">»; в стратегическом направлении «2. Совершенствование налоговой и таможенной систем»: в цели 2.1. «Улучшение налогового администрирования»: строку «</w:t>
      </w:r>
    </w:p>
    <w:p>
      <w:r>
        <w:t xml:space="preserve">| Индикатор «Налогообложение» рейтинга Всемирного банка «Doing Business» | Отчет Всемир- ного банка | Пози- ция | 53 | 39 | 38 | 38 | 13 | 13 | 13 |</w:t>
      </w:r>
    </w:p>
    <w:p>
      <w:r>
        <w:t xml:space="preserve">|---|---|---|---|---|---|---|---|---|---|</w:t>
      </w:r>
    </w:p>
    <w:p>
      <w:pPr>
        <w:pStyle w:val="Heading2"/>
      </w:pPr>
      <w:r>
        <w:t xml:space="preserve">Текст</w:t>
      </w:r>
    </w:p>
    <w:p>
      <w:r>
        <w:t xml:space="preserve">» изложить в следующей редакции: «</w:t>
      </w:r>
    </w:p>
    <w:p>
      <w:r>
        <w:t xml:space="preserve">| Индикатор «Налогообложение» рейтинга Всемирного банка «Doing Business» | Отчет Всемир- ного банка | Пози- ция | 53 | 39 | 38 | 13 | 13 | 13 | 13 |</w:t>
      </w:r>
    </w:p>
    <w:p>
      <w:r>
        <w:t xml:space="preserve">|---|---|---|---|---|---|---|---|---|---|</w:t>
      </w:r>
    </w:p>
    <w:p>
      <w:pPr>
        <w:pStyle w:val="Heading2"/>
      </w:pPr>
      <w:r>
        <w:t xml:space="preserve">Текст</w:t>
      </w:r>
    </w:p>
    <w:p>
      <w:r>
        <w:t xml:space="preserve">»; в задаче «2.1.2. Повышение качества предоставляемых налоговых услуг» строку «</w:t>
      </w:r>
    </w:p>
    <w:p>
      <w:r>
        <w:t xml:space="preserve">| Мероприятия для достижения показателей прямых результатов | срок реализации |  |  |  |  |</w:t>
      </w:r>
    </w:p>
    <w:p>
      <w:r>
        <w:t xml:space="preserve">|---|---|---|---|---|---|</w:t>
      </w:r>
    </w:p>
    <w:p>
      <w:r>
        <w:t xml:space="preserve">| 2011 год | 2012 год | 2013 год | 2014 год | 2015 год |  |</w:t>
      </w:r>
    </w:p>
    <w:p>
      <w:r>
        <w:t xml:space="preserve">| Создание подведомственной Налоговому комитету Министерства финансов Республики Казахстан организации для приема и обработки налоговых деклараций | - | х | - | - | - |</w:t>
      </w:r>
    </w:p>
    <w:p>
      <w:r>
        <w:t xml:space="preserve">| Реализация проекта по строительству и внедрению центров обработки налоговых деклараций Налогового комитета Министерства финансов Республики Казахстан | - | х | х | х | х |</w:t>
      </w:r>
    </w:p>
    <w:p>
      <w:r>
        <w:t xml:space="preserve">| Поддержание доли электронных и частично автоматизированных налоговых услуг в общем количестве налоговых услуг, на уровне не менее 20 % | х | х | х | х | х |</w:t>
      </w:r>
    </w:p>
    <w:p>
      <w:r>
        <w:t xml:space="preserve">| Строительство 4 центров приема и обработки информации налоговых органов | х | - | - | - | - |</w:t>
      </w:r>
    </w:p>
    <w:p>
      <w:pPr>
        <w:pStyle w:val="Heading2"/>
      </w:pPr>
      <w:r>
        <w:t xml:space="preserve">Текст</w:t>
      </w:r>
    </w:p>
    <w:p>
      <w:r>
        <w:t xml:space="preserve">» изложить в следующей редакции: «</w:t>
      </w:r>
    </w:p>
    <w:p>
      <w:r>
        <w:t xml:space="preserve">| Мероприятия для достижения показателей прямых результатов | срок реализации |  |  |  |  |</w:t>
      </w:r>
    </w:p>
    <w:p>
      <w:r>
        <w:t xml:space="preserve">|---|---|---|---|---|---|</w:t>
      </w:r>
    </w:p>
    <w:p>
      <w:r>
        <w:t xml:space="preserve">| 2011 год | 2012 год | 2013 год | 2014 год | 2015 год |  |</w:t>
      </w:r>
    </w:p>
    <w:p>
      <w:r>
        <w:t xml:space="preserve">| Создание подведомственной Налоговому комитету Министерства финансов Республики Казахстан организации для приема и обработки налоговых деклараций | - | х | - | - | - |</w:t>
      </w:r>
    </w:p>
    <w:p>
      <w:r>
        <w:t xml:space="preserve">| Реализация проекта по строительству и внедрению Центров обработки налоговых деклараций Налогового комитета Министерства финансов Республики Казахстан | - | х | х | х | х |</w:t>
      </w:r>
    </w:p>
    <w:p>
      <w:r>
        <w:t xml:space="preserve">| Поддержание доли электронных и частично автоматизированных налоговых услуг в общем количестве налоговых услуг, на уровне не менее 20 % | х | х | х | х | х |</w:t>
      </w:r>
    </w:p>
    <w:p>
      <w:r>
        <w:t xml:space="preserve">| Строительство 4 центров приема и обработки информации налоговых органов | х | - | - | - | - |</w:t>
      </w:r>
    </w:p>
    <w:p>
      <w:r>
        <w:t xml:space="preserve">| Разработка и внедрение стандартов и регламентов государственных услуг, оказываемых органам налоговой службы | - | х | - | - | - |</w:t>
      </w:r>
    </w:p>
    <w:p>
      <w:r>
        <w:t xml:space="preserve">| Автоматизация налоговых услуг, в том числе через портал «электронного правительства» | - | х | х | - | - |</w:t>
      </w:r>
    </w:p>
    <w:p>
      <w:pPr>
        <w:pStyle w:val="Heading2"/>
      </w:pPr>
      <w:r>
        <w:t xml:space="preserve">Текст</w:t>
      </w:r>
    </w:p>
    <w:p>
      <w:r>
        <w:t xml:space="preserve">»; в стратегическом направлении «3. Повышение эффективности регулирования в сфере банкротства и посткризисное восстановление (оздоровление) конкурентоспособных предприятий)»: в цели «3.1. Усовершенствование механизма банкротства»: строку «</w:t>
      </w:r>
    </w:p>
    <w:p>
      <w:r>
        <w:t xml:space="preserve">| Индикатор «Ликвидация предприятий» рейтинга Всемирного банка «Doing Business» | Отчет Всемирного банка | Позиция | 54 | 48 | 48 | 53 | 48 | 47 | 46 |</w:t>
      </w:r>
    </w:p>
    <w:p>
      <w:r>
        <w:t xml:space="preserve">|---|---|---|---|---|---|---|---|---|---|</w:t>
      </w:r>
    </w:p>
    <w:p>
      <w:pPr>
        <w:pStyle w:val="Heading2"/>
      </w:pPr>
      <w:r>
        <w:t xml:space="preserve">Текст</w:t>
      </w:r>
    </w:p>
    <w:p>
      <w:r>
        <w:t xml:space="preserve">» изложить в следующей редакции: «</w:t>
      </w:r>
    </w:p>
    <w:p>
      <w:r>
        <w:t xml:space="preserve">| Индикатор «Разрешение неплатежеспособности» рейтинга Всемирного банка «Doing Business» | Отчет Всемирного банка | Пози- ция | 54 | 48 | 48 | 54 | 48 | 47 | 46 |</w:t>
      </w:r>
    </w:p>
    <w:p>
      <w:r>
        <w:t xml:space="preserve">|---|---|---|---|---|---|---|---|---|---|</w:t>
      </w:r>
    </w:p>
    <w:p>
      <w:pPr>
        <w:pStyle w:val="Heading2"/>
      </w:pPr>
      <w:r>
        <w:t xml:space="preserve">Текст</w:t>
      </w:r>
    </w:p>
    <w:p>
      <w:r>
        <w:t xml:space="preserve">»; в стратегическом направлении «4. Повышение эффективности системы управления республиканской государственной собственностью и собственностью в отраслях экономики, имеющих стратегическое значение»: в цели «4.1. Совершенствование управления государственной собственностью и собственностью в отраслях экономики, имеющих стратегическое значение»: в строке «Код бюджетной программы, направленной на достижение данной цели» цифры «, 061» исключить; в стратегическом направлении «5. Противодействие легализации (отмыванию) доходов, полученных незаконным путем, и финансированию терроризма»: в цели «5.1. Формирование эффективной системы финансового мониторинга в целях противодействия легализации (отмыванию) доходов, полученных незаконным путем, и финансированию терроризма.»: задачу «5.1.1. Совершенствование системы финансового мониторинга.»: изложить в следующей редакции: «</w:t>
      </w:r>
    </w:p>
    <w:p>
      <w:r>
        <w:t xml:space="preserve">| Показатели прямых результатов | Источник информа- ции | Ед. изм. | Отчетный период | Плановый период |  |  |  |  |  |</w:t>
      </w:r>
    </w:p>
    <w:p>
      <w:r>
        <w:t xml:space="preserve">|---|---|---|---|---|---|---|---|---|---|</w:t>
      </w:r>
    </w:p>
    <w:p>
      <w:r>
        <w:t xml:space="preserve">| 2009 год | 2010 год | 2011 год | 2012 год | 2013 год | 2014 год | 2015 год |  |  |  |</w:t>
      </w:r>
    </w:p>
    <w:p>
      <w:r>
        <w:t xml:space="preserve">| Охват системой финансового мониторинга субъектов финансового мониторинга, предусмотренных Законом РК «О противодействии легализации (отмыванию) доходов, полученных незаконным путем, и финансированию терроризма» | Отчетные данные КФМ | % | - | 20 | 50 | 65 | 80 | 95 | 98 |</w:t>
      </w:r>
    </w:p>
    <w:p>
      <w:r>
        <w:t xml:space="preserve">| Мероприятия для достижения показателей прямых результатов | срок реализации |  |  |  |  |  |  |  |  |</w:t>
      </w:r>
    </w:p>
    <w:p>
      <w:r>
        <w:t xml:space="preserve">| 2011 год | 2012 год | 2013 год | 2014 год | 2015 год |  |  |  |  |  |</w:t>
      </w:r>
    </w:p>
    <w:p>
      <w:r>
        <w:t xml:space="preserve">| Принятие Закона Республики Казахстан «О внесении изменений и дополнений в некоторые законодательные акты Республики Казахстана по вопросам противодействия легализации (отмыванию) доходов, полученных незаконным путем, и финансированию терроризма» | - | х | - | - | - |  |  |  |  |</w:t>
      </w:r>
    </w:p>
    <w:p>
      <w:r>
        <w:t xml:space="preserve">| Проведение обучающих семинаров, совещаний и консультаций для сотрудников субъектов финансового мониторинга и государственных органов | х | х | х | х | х |  |  |  |  |</w:t>
      </w:r>
    </w:p>
    <w:p>
      <w:pPr>
        <w:pStyle w:val="Heading2"/>
      </w:pPr>
      <w:r>
        <w:t xml:space="preserve">Текст</w:t>
      </w:r>
    </w:p>
    <w:p>
      <w:r>
        <w:t xml:space="preserve">»; дополнить задачей «5.1.2. Укрепление и расширение потенциала международного сотрудничества» следующего содержания: «</w:t>
      </w:r>
    </w:p>
    <w:p>
      <w:r>
        <w:t xml:space="preserve">| Показатели прямых результатов | Источник информа- ции | Ед. изм. | Отчетный период | Плановый период |  |  |  |  |  |</w:t>
      </w:r>
    </w:p>
    <w:p>
      <w:r>
        <w:t xml:space="preserve">|---|---|---|---|---|---|---|---|---|---|</w:t>
      </w:r>
    </w:p>
    <w:p>
      <w:r>
        <w:t xml:space="preserve">| 2009 год | 2010 год | 2011 год | 2012 год | 2013 год | 2014 год | 2015 год |  |  |  |</w:t>
      </w:r>
    </w:p>
    <w:p>
      <w:r>
        <w:t xml:space="preserve">| Количество соглашений, меморандумов о сотрудничестве с подразделениями финансовой разведки иностранных государств | Отчетные данные КФМ | Ед. | - | - | 2 | 3 | 3 | 2 | 1 |</w:t>
      </w:r>
    </w:p>
    <w:p>
      <w:r>
        <w:t xml:space="preserve">| Мероприятия для достижения показателей прямых результатов | срок реализации |  |  |  |  |  |  |  |  |</w:t>
      </w:r>
    </w:p>
    <w:p>
      <w:r>
        <w:t xml:space="preserve">| 2011 год | 2012 год | 2013 год | 2014 год | 2015 год |  |  |  |  |  |</w:t>
      </w:r>
    </w:p>
    <w:p>
      <w:r>
        <w:t xml:space="preserve">| Проведение мероприятий по укреплению международного сотрудничества в области противодействия отмыванию денег и финансированию терроризма | х | х | х | х | х |  |  |  |  |</w:t>
      </w:r>
    </w:p>
    <w:p>
      <w:r>
        <w:t xml:space="preserve">| Вступление в число членов Международного объединения подразделений финансовой разведки (группы «ЭГМОНТ») | х | - | - | - | - |  |  |  |  |</w:t>
      </w:r>
    </w:p>
    <w:p>
      <w:pPr>
        <w:pStyle w:val="Heading2"/>
      </w:pPr>
      <w:r>
        <w:t xml:space="preserve">Текст</w:t>
      </w:r>
    </w:p>
    <w:p>
      <w:r>
        <w:t xml:space="preserve">»; в разделе «Раздел 7. Бюджетные программы»: в подразделе «7.1. Бюджетные программы»: в Бюджетной программе 003 «Проведение процедур ликвидации и банкротства»: в графе «2012 год»: в строке «показатели прямого результата»: в строке «Количество ликвидированных организаций» цифры «588» заменить цифрами «1 095»; в строке «показатели конечного результата»: в строке «Ликвидация несостоятельных должников» цифры «588» заменить цифрами «1 095»; в строке «объем бюджетных расходов» цифры «63 827» заменить цифрами «118 861»; в Бюджетной программе 010 «Резерв Правительства Республики Казахстан»: в графе «2012 год»: в строке «объем бюджетных расходов» цифры «53 852 990» заменить цифрами «86 331 317»; в Бюджетной программе 019 «Выплата курсовой разницы по льготным жилищным кредитам»: в графе «2012 год»: в строке «объем бюджетных расходов» цифры «11 813» заменить цифрами «18 494»; в Бюджетной программе 021 «Капитальные расходы Министерства финансов Республики Казахстан»: в графе «2012 год»: в строке «показатели прямого результата»: в строке «Приобретение служебного автотранспорта» цифры «59» заменить цифрами «31»; в строке «Ориентировочное количество приобретаемой техники, оборудования и мебели» цифры «104 952» заменить цифрой «104 956»; в строке «объем бюджетных расходов» цифры «1 637 749» заменить цифрами «1 577 894»; в Бюджетной программе 026 «Строительство объектов таможенного контроля и таможенной инфраструктуры»: в строке «показатели прямого результата»: дополнить строкой следующего содержания: «</w:t>
      </w:r>
    </w:p>
    <w:p>
      <w:r>
        <w:t xml:space="preserve">| Завершение строительства единого контрольно-пропускного пункта «Карасу» таможенного поста «Кордай» в Карасуском сельском округе Кордайского района Жамбылской области | объектов |  |  |  | 1 |  |  |  |</w:t>
      </w:r>
    </w:p>
    <w:p>
      <w:r>
        <w:t xml:space="preserve">|---|---|---|---|---|---|---|---|---|</w:t>
      </w:r>
    </w:p>
    <w:p>
      <w:pPr>
        <w:pStyle w:val="Heading2"/>
      </w:pPr>
      <w:r>
        <w:t xml:space="preserve">Текст</w:t>
      </w:r>
    </w:p>
    <w:p>
      <w:r>
        <w:t xml:space="preserve">»; в графе «2012 год»: в строке «Ввод в эксплуатацию новых и реконструкция действующих контрольно-пропускных пунктов на таможенных постах» цифру «2» заменить цифрой «3»; в строке «объем бюджетных расходов» цифры «3 152 475» заменить цифрами «3 679 614»; в Бюджетной программе 031 «Создание информационной системы «ТАИС» и «Электронная таможня»: в графе «2012 год»: в строке «Развитие и внедрение информационных систем» цифру «4» заменить цифрой «5»; в строке «объем бюджетных расходов» цифры «497 262» заменить цифрами «757 816»; в Бюджетной программе 033 «Развитие автоматизированной интегрированной информационной системы «Электронные государственные закупки»: в графе «2011 год»: в строке «Увеличение доли электронных государственных закупок в общем объеме государственных закупок» цифры «13» заменить цифрами «12»; в строке «Доля пользователей, удовлетворенных работой системы электронных государственных закупок» цифры «98» заменить цифрами «75»; в графе «2012 год»: в строке «Увеличение доли электронных государственных закупок в общем объеме государственных закупок» цифры «13» заменить цифрами «19»; в строке «Доля пользователей, удовлетворенных работой системы электронных государственных закупок» цифры «65» заменить цифрами «85»; в строке «объем бюджетных расходов» цифры «5 105» заменить цифрами «83 105»; в Бюджетной программе 036 «Модернизация информационных систем Налоговых органов, связанных с изменением налогового законодательства»: в графе «2012 год»: в строке «объем бюджетных расходов» цифры «6 481 704» заменить цифрами «7 195 587»; в Бюджетной программе 038 «Субсидирование процентной ставки вознаграждения в рамках «Программы посткризисного восстановления (оздоровление конкурентоспособных предприятий)»: в графе «2012 год»: в строке «Количество субсидируемых кредитов» цифры «18» заменить цифрами «30»; в строке «Количество просубсидируемых кредитов» цифры «18» заменить цифрами «30»; дополнить бюджетными программами 040 «Строительство центров приема и обработки информации налоговых органов», 058 «Целевые текущие трансферты областному бюджету Западно-Казахстанской области на обеспечение компенсации потерь и экономической стабильности региона», 073 «Развитие интегрированной информационной системы казначейства и создание компонента «Казначейство-клиент» согласно приложениям 1 , 2 , 3 к настоящему постановлению; в Бюджетной программе 067 «Финансирование политических партий»: в графе «2012 год»: в строке «Ориентировочное количество финансируемых политических партий в соответствии с законодательством Республики Казахстан» цифру «1» заменить цифрой «3»; в строке «объем бюджетных расходов» цифры «5 974 004» заменить цифрами «3 473 132»; в разделе «7.2. Свод бюджетных расходов»: в графе «2012 год» цифры «1 208 325 454», «1 190 839 572», «17 485 882» заменить соответственно цифрами «1 257 553 614», «1 236 718 887», «20 834 727». 2. Настоящее постановление вводится в действие со дня подписания и подлежит официальному опубликованию.</w:t>
      </w:r>
    </w:p>
    <w:p>
      <w:pPr>
        <w:pStyle w:val="Heading2"/>
      </w:pPr>
      <w:r>
        <w:t xml:space="preserve">Текст</w:t>
      </w:r>
    </w:p>
    <w:p>
      <w:r>
        <w:t xml:space="preserve">Премьер-Министр Республики Казахстан                       К. Масимов</w:t>
      </w:r>
    </w:p>
    <w:p>
      <w:pPr>
        <w:pStyle w:val="Heading2"/>
      </w:pPr>
      <w:r>
        <w:t xml:space="preserve">Приложение Приложение 1 к постановлению Правительства Республики Казахстан от 19 апреля 2012 года № 497</w:t>
      </w:r>
    </w:p>
    <w:p>
      <w:r>
        <w:t xml:space="preserve">| Бюджетная программа | 040 Строительство центров приема и обработки информации налоговых органов |  |  |  |  |  |  |  |</w:t>
      </w:r>
    </w:p>
    <w:p>
      <w:r>
        <w:t xml:space="preserve">|---|---|---|---|---|---|---|---|---|</w:t>
      </w:r>
    </w:p>
    <w:p>
      <w:r>
        <w:t xml:space="preserve">| Описание | Строительство центров приема и обработки информации территориальных налоговых органов |  |  |  |  |  |  |  |</w:t>
      </w:r>
    </w:p>
    <w:p>
      <w:r>
        <w:t xml:space="preserve">| Вид бюджетной программы: | в зависимости от содержания | осуществление бюджетных инвестиций |  |  |  |  |  |  |</w:t>
      </w:r>
    </w:p>
    <w:p>
      <w:r>
        <w:t xml:space="preserve">| в зависимости от способа реализации | индивидуальная |  |  |  |  |  |  |  |</w:t>
      </w:r>
    </w:p>
    <w:p>
      <w:r>
        <w:t xml:space="preserve">| текущая/ развитие | развитие |  |  |  |  |  |  |  |</w:t>
      </w:r>
    </w:p>
    <w:p>
      <w:r>
        <w:t xml:space="preserve">| наименование показателей бюджетной программы | ед. изм. | отчетный год | плановый период | 2014 год | проекти- руемый год |  |  |  |</w:t>
      </w:r>
    </w:p>
    <w:p>
      <w:r>
        <w:t xml:space="preserve">| 2009 год (отчет) | 2010 год (план текущего года) | 2011 год | 2012 год | 2013 год |  |  |  |  |</w:t>
      </w:r>
    </w:p>
    <w:p>
      <w:r>
        <w:t xml:space="preserve">| 1 | 2 | 3 | 4 | 5 | 6 | 7 | 8 | 9 |</w:t>
      </w:r>
    </w:p>
    <w:p>
      <w:r>
        <w:t xml:space="preserve">| показатели прямого результата |  |  |  |  |  |  |  |  |</w:t>
      </w:r>
    </w:p>
    <w:p>
      <w:r>
        <w:t xml:space="preserve">| Строительство Центров приема и обработки информации налоговых органов | ед. | 9 | 10 | 4 | 1 |  |  |  |</w:t>
      </w:r>
    </w:p>
    <w:p>
      <w:r>
        <w:t xml:space="preserve">| показатели конечного результата |  |  |  |  |  |  |  |  |</w:t>
      </w:r>
    </w:p>
    <w:p>
      <w:r>
        <w:t xml:space="preserve">| Ввод в эксплуатацию Центров приема и обработки информации налоговых органов | ед. | 9 | 10 | 4 | 1 |  |  |  |</w:t>
      </w:r>
    </w:p>
    <w:p>
      <w:r>
        <w:t xml:space="preserve">| показатели качества |  |  |  |  |  |  |  |  |</w:t>
      </w:r>
    </w:p>
    <w:p>
      <w:r>
        <w:t xml:space="preserve">| показатели эффективности |  |  |  |  |  |  |  |  |</w:t>
      </w:r>
    </w:p>
    <w:p>
      <w:r>
        <w:t xml:space="preserve">| объем бюджетных расходов | тыс. тг. | 566 876 | 594 030 | 237 626 | 4 491 | 0 | 0 |  |</w:t>
      </w:r>
    </w:p>
    <w:p>
      <w:pPr>
        <w:pStyle w:val="Heading2"/>
      </w:pPr>
      <w:r>
        <w:t xml:space="preserve">Приложение Приложение 2 к постановлению Правительства Республики Казахстан от 19 апреля 2012 года № 497</w:t>
      </w:r>
    </w:p>
    <w:p>
      <w:r>
        <w:t xml:space="preserve">| Бюджетная программа | 058 Целевые текущие трансферты областному бюджету Западно-Казахстанской области на обеспечение компенсации потерь и экономической стабильности региона |  |  |  |  |  |  |  |</w:t>
      </w:r>
    </w:p>
    <w:p>
      <w:r>
        <w:t xml:space="preserve">|---|---|---|---|---|---|---|---|---|</w:t>
      </w:r>
    </w:p>
    <w:p>
      <w:r>
        <w:t xml:space="preserve">| Описание | Целевые текущие трансферты бюджету Западно-Казахстанской области на обеспечение экономической стабильности региона |  |  |  |  |  |  |  |</w:t>
      </w:r>
    </w:p>
    <w:p>
      <w:r>
        <w:t xml:space="preserve">| Вид бюджетной программы: | в зависимости от содержания | предоставление трансфертов и бюджетных субсидий |  |  |  |  |  |  |</w:t>
      </w:r>
    </w:p>
    <w:p>
      <w:r>
        <w:t xml:space="preserve">| в зависимости от способа реализации | индивидуальная |  |  |  |  |  |  |  |</w:t>
      </w:r>
    </w:p>
    <w:p>
      <w:r>
        <w:t xml:space="preserve">| текущая/развитие | текущая |  |  |  |  |  |  |  |</w:t>
      </w:r>
    </w:p>
    <w:p>
      <w:r>
        <w:t xml:space="preserve">| наименование показателей бюджетной программы | ед. изм. | отчетный год | плановый период | 2014 год | проекти- руемый год |  |  |  |</w:t>
      </w:r>
    </w:p>
    <w:p>
      <w:r>
        <w:t xml:space="preserve">| 2009 год (отчет) | 2010 год (план текущего года) | 2011 год | 2012 год | 2013 год |  |  |  |  |</w:t>
      </w:r>
    </w:p>
    <w:p>
      <w:r>
        <w:t xml:space="preserve">| 1 | 2 | 3 | 4 | 5 | 6 | 7 | 8 | 9 |</w:t>
      </w:r>
    </w:p>
    <w:p>
      <w:r>
        <w:t xml:space="preserve">| показатели прямого результата |  |  |  |  |  |  |  |  |</w:t>
      </w:r>
    </w:p>
    <w:p>
      <w:r>
        <w:t xml:space="preserve">| Своевременное выделение трансфертов | % |  |  | 100 | 100 |  |  |  |</w:t>
      </w:r>
    </w:p>
    <w:p>
      <w:r>
        <w:t xml:space="preserve">| показатели конечного результата |  |  |  |  |  |  |  |  |</w:t>
      </w:r>
    </w:p>
    <w:p>
      <w:r>
        <w:t xml:space="preserve">| Обеспечение поступления в местные бюджеты всей суммы трансфертов | % |  |  | 100 | 100 |  |  |  |</w:t>
      </w:r>
    </w:p>
    <w:p>
      <w:r>
        <w:t xml:space="preserve">| показатели качества |  |  |  |  |  |  |  |  |</w:t>
      </w:r>
    </w:p>
    <w:p>
      <w:r>
        <w:t xml:space="preserve">| показатели эффективности |  |  |  |  |  |  |  |  |</w:t>
      </w:r>
    </w:p>
    <w:p>
      <w:r>
        <w:t xml:space="preserve">| объем бюджетных расходов | тыс. тг. |  |  | 12 485 670 | 15 900 000 |  |  |  |</w:t>
      </w:r>
    </w:p>
    <w:p>
      <w:pPr>
        <w:pStyle w:val="Heading2"/>
      </w:pPr>
      <w:r>
        <w:t xml:space="preserve">Приложение Приложение 3 к постановлению Правительства Республики Казахстан от 19 апреля 2012 года № 497</w:t>
      </w:r>
    </w:p>
    <w:p>
      <w:r>
        <w:t xml:space="preserve">| Бюджетная программа | 073 Развитие интегрированной информационной системы казначейства и создание компонента «Казначейство-клиент» |  |  |  |  |  |  |  |</w:t>
      </w:r>
    </w:p>
    <w:p>
      <w:r>
        <w:t xml:space="preserve">|---|---|---|---|---|---|---|---|---|</w:t>
      </w:r>
    </w:p>
    <w:p>
      <w:r>
        <w:t xml:space="preserve">| Описание | Обеспечение стабильного и бесперебойного функционирования информационной системы казначейства |  |  |  |  |  |  |  |</w:t>
      </w:r>
    </w:p>
    <w:p>
      <w:r>
        <w:t xml:space="preserve">| Вид бюджетной программы: | в зависимости от содержания | осуществление бюджетных инвестиций |  |  |  |  |  |  |</w:t>
      </w:r>
    </w:p>
    <w:p>
      <w:r>
        <w:t xml:space="preserve">| в зависимости от способа реализации | индивидуальная |  |  |  |  |  |  |  |</w:t>
      </w:r>
    </w:p>
    <w:p>
      <w:r>
        <w:t xml:space="preserve">| текущая/развитие | развитие |  |  |  |  |  |  |  |</w:t>
      </w:r>
    </w:p>
    <w:p>
      <w:r>
        <w:t xml:space="preserve">| наименование показателей бюджетной программы | ед. изм. | отчетный год | плановый период | 2014 год | проекти- руемый год |  |  |  |</w:t>
      </w:r>
    </w:p>
    <w:p>
      <w:r>
        <w:t xml:space="preserve">| 2009 год (отчет) | 2010 год (план текущего года) | 2011 год | 2012 год | 2013 год |  |  |  |  |</w:t>
      </w:r>
    </w:p>
    <w:p>
      <w:r>
        <w:t xml:space="preserve">| 1 | 2 | 3 | 4 | 5 | 6 | 7 | 8 | 9 |</w:t>
      </w:r>
    </w:p>
    <w:p>
      <w:r>
        <w:t xml:space="preserve">| показатели прямого результата |  |  |  |  |  |  |  |  |</w:t>
      </w:r>
    </w:p>
    <w:p>
      <w:r>
        <w:t xml:space="preserve">| Подключение государственных учреждений к ИС «Казначейство-клиент», имеющих необходимый уровень технического оснащения в пилотной зоне | % |  |  |  | 70 |  |  |  |</w:t>
      </w:r>
    </w:p>
    <w:p>
      <w:r>
        <w:t xml:space="preserve">| показатели конечного результата |  |  |  |  |  |  |  |  |</w:t>
      </w:r>
    </w:p>
    <w:p>
      <w:r>
        <w:t xml:space="preserve">| Переход на обслуживание в ИС «Казначейство-клиент» государственных учреждений подключенных к системе «Казначейство-клиент» в пилотной зоне | % |  |  |  | 50 |  |  |  |</w:t>
      </w:r>
    </w:p>
    <w:p>
      <w:r>
        <w:t xml:space="preserve">| показатели качества |  |  |  |  |  |  |  |  |</w:t>
      </w:r>
    </w:p>
    <w:p>
      <w:r>
        <w:t xml:space="preserve">| Сокращение времени обслуживания государственных учреждений и обработки финансовых платежных документов через информационную систему «Казначейство-клиент» в пилотной зоне | рабочие часы |  |  |  | 16 |  |  |  |</w:t>
      </w:r>
    </w:p>
    <w:p>
      <w:r>
        <w:t xml:space="preserve">| показатели эффективности |  |  |  |  |  |  |  |  |</w:t>
      </w:r>
    </w:p>
    <w:p>
      <w:r>
        <w:t xml:space="preserve">| объем бюджетных расходов | тыс. тг. |  |  |  | 1 764 778 |  |  |  |</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