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26 декабря 2003 года N 1327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17.06.2004. № 197и. редакция от 17.06.2004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26 декабря 2003 года N 1327 "Об утверждении паспортов республиканских бюджетных программ на 2004 год" следующие изменение и дополнение: в приложении 72 к указанному постановлению: в таблице пункта 6 "План мероприятий по реализации бюджетной программы": в графе 5 строки, порядковый номер 2: в пункте 1 абзац пятый исключить; дополнить пунктом 4 следующего содержания: "4. Разработка комплекса неотложных и перспективных мероприятий по увеличению пропускной способности русла реки Сырдарья ниже Шардаринского гидроузла до впадения в Малый Арал с учетом ухудшения гидрологического режима и возросших антропогенных нагрузок: оценка пропускной способности (воды, льда и наносов) русла реки на критических участках между крупными гидроузлами; определение направленности русловых процессов в летний и зимний периоды, выявление критических участков и причин их образования (гидрологических, антропогенных); прогноз возможных русловых процессов после реконструкции гидроузлов (Айтек, Аклак и др.) и возрастание зимних энергетических попусков; подготовка пакета информации по оценке и прогнозу возможных русловых процессов после реконструкции гидроузлов (Айтек, Аклак и др.) и возрастание зимних энергетических попусков.".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