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Порядка организации калибровки средств измерений</w:t>
      </w:r>
    </w:p>
    <w:p>
      <w:r>
        <w:t xml:space="preserve">Решение. Коллегия Евразийской экономической комиссии. от 20.06.2023. № 84. редакция от 20.06.2023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3 пункта 9 Протокола о проведении согласованной политики в области обеспечения единства измерений (приложение № 10 к Договору о Евразийском экономическом союзе от 29 мая 2014 года) и пунктом 16 приложения № 2 к Регламенту работы Евразийской экономической комиссии, утвержденному Решением Высшего Евразийского экономического совета от 23 декабря 2014 г. № 98, Коллегия Евразийской экономической комиссии решила:</w:t>
      </w:r>
    </w:p>
    <w:p>
      <w:pPr>
        <w:pStyle w:val="Heading2"/>
      </w:pPr>
      <w:r>
        <w:t xml:space="preserve">Текст</w:t>
      </w:r>
    </w:p>
    <w:p>
      <w:r>
        <w:t xml:space="preserve">1.Утвердить прилагаемый Порядок организации калибровки средств измерений.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вступает в силу по истечении 6 месяцев с даты его официального опубликования, но не ранее даты вступления в силу решения Совета Евразийской экономической комиссии о внесении изменений в Решение Совета Евразийской экономической комиссии от 18 октября 2016 г. № 145, касающихся вопроса взаимного признания результатов калибровки средств измерений.</w:t>
      </w:r>
    </w:p>
    <w:p>
      <w:r>
        <w:t xml:space="preserve">| Председатель Коллегии Евразийской экономической комиссии | М. Мясникович |</w:t>
      </w:r>
    </w:p>
    <w:p>
      <w:r>
        <w:t xml:space="preserve">|---|---|</w:t>
      </w:r>
    </w:p>
    <w:p>
      <w:r>
        <w:t xml:space="preserve">|  | УТВЕРЖДЕН Решением Коллегии Евразийской экономической комиссии от 20 июня 2023 г. № 84 |</w:t>
      </w:r>
    </w:p>
    <w:p>
      <w:r>
        <w:t xml:space="preserve">|---|---|</w:t>
      </w:r>
    </w:p>
    <w:p>
      <w:pPr>
        <w:pStyle w:val="Heading2"/>
      </w:pPr>
      <w:r>
        <w:t xml:space="preserve">Глава ПОРЯДОК</w:t>
      </w:r>
    </w:p>
    <w:p>
      <w:pPr>
        <w:pStyle w:val="Heading2"/>
      </w:pPr>
      <w:r>
        <w:t xml:space="preserve">Глава организации калибровки средств измерений</w:t>
      </w:r>
    </w:p>
    <w:p>
      <w:pPr>
        <w:pStyle w:val="Heading2"/>
      </w:pPr>
      <w:r>
        <w:t xml:space="preserve">Пункт 1</w:t>
      </w:r>
    </w:p>
    <w:p>
      <w:r>
        <w:t xml:space="preserve">1. Настоящий Порядок устанавливает правила организации калибровки средств измерений (далее – калибровка) в государствах – членах Евразийского экономического союза (далее соответственно – государства-члены, Союз) в областях деятельности, предусмотренных законодательством государств-членов, в целях обеспечения:</w:t>
      </w:r>
    </w:p>
    <w:p>
      <w:r>
        <w:t xml:space="preserve">а) условий сопоставимости результатов измерений и результатов оценки соответствия продукции требованиям технических регламентов Союза и измерений количественных показателей продукции;</w:t>
      </w:r>
    </w:p>
    <w:p>
      <w:r>
        <w:t xml:space="preserve">б) метрологической прослеживаемости получаемых результатов измерений по отношению к Международной системе единиц (СИ), национальным (первичным) эталонам единиц величин государств-членов и (или) международным эталонам единиц величин;</w:t>
      </w:r>
    </w:p>
    <w:p>
      <w:r>
        <w:t xml:space="preserve">в) условий для взаимного признания в государствах-членах результатов калибровки средств измерений, изготовленных на территориях государств-членов.</w:t>
      </w:r>
    </w:p>
    <w:p>
      <w:pPr>
        <w:pStyle w:val="Heading2"/>
      </w:pPr>
      <w:r>
        <w:t xml:space="preserve">Пункт 2</w:t>
      </w:r>
    </w:p>
    <w:p>
      <w:r>
        <w:t xml:space="preserve">2. Для целей настоящего Порядка используются понятия, которые означают следующее:</w:t>
      </w:r>
    </w:p>
    <w:p>
      <w:r>
        <w:t xml:space="preserve">"знак калибровки" – условный знак, удостоверяющий результаты калибровки, соответствующий по форме и содержанию требованиям, установленным в государстве-члене;</w:t>
      </w:r>
    </w:p>
    <w:p>
      <w:r>
        <w:t xml:space="preserve">"межкалибровочный интервал" – промежуток времени или наработка между двумя последовательными калибровками;</w:t>
      </w:r>
    </w:p>
    <w:p>
      <w:r>
        <w:t xml:space="preserve">"методика калибровки" – документ, описывающий процедуру проведения калибровки;</w:t>
      </w:r>
    </w:p>
    <w:p>
      <w:r>
        <w:t xml:space="preserve">"метрологические требования" – количественные и (или) качественные требования (словесные и (или) цифровые показатели, нормативы, правила, классификации, словесные и графические описания) к характеристикам национальных (первичных) эталонов единиц величин государств-членов, международных эталонов единиц величин, стандартных образцов, средств измерений, влияющим на результат измерений, и к условиям, при которых эти характеристики должны быть обеспечены.</w:t>
      </w:r>
    </w:p>
    <w:p>
      <w:r>
        <w:t xml:space="preserve">Иные понятия, используемые в настоящем Порядке, применяются в значениях, определенных Протоколом о проведении согласованной политики в области обеспечения единства измерений ( приложение № 10 к Договору о Евразийском экономическом союзе от 29 мая 2014 года).</w:t>
      </w:r>
    </w:p>
    <w:p>
      <w:pPr>
        <w:pStyle w:val="Heading2"/>
      </w:pPr>
      <w:r>
        <w:t xml:space="preserve">Пункт 3</w:t>
      </w:r>
    </w:p>
    <w:p>
      <w:r>
        <w:t xml:space="preserve">3. Калибровка проводится в соответствии с настоящим Порядком в случаях, определенных законодательством государства-члена, следующими исполнителями:</w:t>
      </w:r>
    </w:p>
    <w:p>
      <w:r>
        <w:t xml:space="preserve">а) национальными метрологическими институтами, являющимися участниками Соглашения о взаимном признании национальных эталонов и сертификатов калибровки и измерений, выдаваемых национальными метрологическими институтами, сведения о калибровочных и измерительных возможностях которых опубликованы в соответствующих разделах базы данных ключевых сличений Международного бюро мер и весов;</w:t>
      </w:r>
    </w:p>
    <w:p>
      <w:r>
        <w:t xml:space="preserve">б) юридическими лицами, а также физическими лицами, зарегистрированными в качестве индивидуальных предпринимателей (далее – индивидуальные предприниматели), которые аккредитованы на право проведения калибровочных работ в соответствии с положениями межгосударственного стандарта, идентичного международному стандарту ISO/IEC 17025 "Общие требования к компетентности испытательных и калибровочных лабораторий" (далее – межгосударственный стандарт), органами по аккредитации своего государства (или иного государства, если это предусмотрено законодательством государства-члена), являющимися членами Международной организации по аккредитации лабораторий (ILAC) и (или) региональной организации по аккредитации и участниками Соглашения о взаимном признании аккредитации MRA (Mutual Recognition Agreement) и (или) другого регионального соглашения;</w:t>
      </w:r>
    </w:p>
    <w:p>
      <w:r>
        <w:t xml:space="preserve">в) юридическими лицами, а также индивидуальными предпринимателями, не аккредитованными на право проведения калибровочных работ, подтверждающими при этом свою компетентность в соответствии с положениями межгосударственного стандарта в порядке, установленном законодательством в области обеспечения единства измерений государства-члена. Указанные юридические лица и индивидуальные предприниматели могут применять настоящий Порядок добровольно.</w:t>
      </w:r>
    </w:p>
    <w:p>
      <w:pPr>
        <w:pStyle w:val="Heading2"/>
      </w:pPr>
      <w:r>
        <w:t xml:space="preserve">Пункт 4</w:t>
      </w:r>
    </w:p>
    <w:p>
      <w:r>
        <w:t xml:space="preserve">4. Для целей настоящего Порядка исполнители:</w:t>
      </w:r>
    </w:p>
    <w:p>
      <w:r>
        <w:t xml:space="preserve">применяют эталоны единиц величин, для которых обеспечивается метрологическая прослеживаемость получаемых с их помощью результатов измерений по отношению к Международной системе единиц (СИ), национальным (первичным) эталонам единиц величин государств-членов и (или) международным эталонам единиц величин;</w:t>
      </w:r>
    </w:p>
    <w:p>
      <w:r>
        <w:t xml:space="preserve">поддерживают метрологическую прослеживаемость к основам для сравнения в соответствии с межгосударственным стандартом в случае, если установление метрологической прослеживаемости по отношению к Международной системе единиц (СИ) с технической точки зрения для исполнителей не представляется возможным.</w:t>
      </w:r>
    </w:p>
    <w:p>
      <w:pPr>
        <w:pStyle w:val="Heading2"/>
      </w:pPr>
      <w:r>
        <w:t xml:space="preserve">Пункт 5</w:t>
      </w:r>
    </w:p>
    <w:p>
      <w:r>
        <w:t xml:space="preserve">5. Калибровка проводится в следующих случаях:</w:t>
      </w:r>
    </w:p>
    <w:p>
      <w:r>
        <w:t xml:space="preserve">а) при выпуске из производства средства измерений;</w:t>
      </w:r>
    </w:p>
    <w:p>
      <w:r>
        <w:t xml:space="preserve">б) при вводе в эксплуатацию средства измерений (если при выпуске из производства средства измерений калибровка не проводилась);</w:t>
      </w:r>
    </w:p>
    <w:p>
      <w:r>
        <w:t xml:space="preserve">в) после ремонта средства измерений;</w:t>
      </w:r>
    </w:p>
    <w:p>
      <w:r>
        <w:t xml:space="preserve">г) при эксплуатации средства измерений;</w:t>
      </w:r>
    </w:p>
    <w:p>
      <w:r>
        <w:t xml:space="preserve">д) при ввозе средства измерений на таможенную территорию Союза.</w:t>
      </w:r>
    </w:p>
    <w:p>
      <w:pPr>
        <w:pStyle w:val="Heading2"/>
      </w:pPr>
      <w:r>
        <w:t xml:space="preserve">Пункт 6</w:t>
      </w:r>
    </w:p>
    <w:p>
      <w:r>
        <w:t xml:space="preserve">6. Средства измерений, находящиеся в эксплуатации, подвергаются калибровке с периодичностью, устанавливаемой в соответствии с законодательством государства-члена.</w:t>
      </w:r>
    </w:p>
    <w:p>
      <w:r>
        <w:t xml:space="preserve">Межкалибровочный интервал проведения калибровок устанавливается владельцем или пользователем средств измерений (далее – заказчик), применяющими его в соответствии с законодательством государства-члена, в том числе с учетом соблюдения метрологических требований.</w:t>
      </w:r>
    </w:p>
    <w:p>
      <w:pPr>
        <w:pStyle w:val="Heading2"/>
      </w:pPr>
      <w:r>
        <w:t xml:space="preserve">Пункт 7</w:t>
      </w:r>
    </w:p>
    <w:p>
      <w:r>
        <w:t xml:space="preserve">7. Калибровка проводится на основании заявки заказчика.</w:t>
      </w:r>
    </w:p>
    <w:p>
      <w:pPr>
        <w:pStyle w:val="Heading2"/>
      </w:pPr>
      <w:r>
        <w:t xml:space="preserve">Пункт 8</w:t>
      </w:r>
    </w:p>
    <w:p>
      <w:r>
        <w:t xml:space="preserve">8. Для проведения калибровки заказчик представляет исполнителю средство измерений и комплект документов в необходимом объеме, содержащий в том числе заявку, составленную по форме, используемой в государстве-члене, и методику калибровки (при наличии).</w:t>
      </w:r>
    </w:p>
    <w:p>
      <w:r>
        <w:t xml:space="preserve">При необходимости получения по результатам проведения калибровки в одном государстве-члене для представления в других государствах-членах заключения о соответствии (несоответствии) средства измерения метрологическим требованиям, изложенным в спецификации, стандарте, описании типа средства измерений (при наличии), в заявку включаются сведения о том, соответствие каким метрологическим требованиям необходимо установить.</w:t>
      </w:r>
    </w:p>
    <w:p>
      <w:pPr>
        <w:pStyle w:val="Heading2"/>
      </w:pPr>
      <w:r>
        <w:t xml:space="preserve">Пункт 9</w:t>
      </w:r>
    </w:p>
    <w:p>
      <w:r>
        <w:t xml:space="preserve">9. Калибровка проводится в соответствии с методиками калибровки:</w:t>
      </w:r>
    </w:p>
    <w:p>
      <w:r>
        <w:t xml:space="preserve">изложенными в рекомендациях Международной организации законодательной метрологии, а также в международных, межгосударственных и национальных (государственных) стандартах;</w:t>
      </w:r>
    </w:p>
    <w:p>
      <w:r>
        <w:t xml:space="preserve">разработанными юридическими лицами или индивидуальными предпринимателями, проводящими калибровку в соответствии с положениями межгосударственного стандарта.</w:t>
      </w:r>
    </w:p>
    <w:p>
      <w:pPr>
        <w:pStyle w:val="Heading2"/>
      </w:pPr>
      <w:r>
        <w:t xml:space="preserve">Пункт 10</w:t>
      </w:r>
    </w:p>
    <w:p>
      <w:r>
        <w:t xml:space="preserve">10. Результаты калибровки удостоверяются свидетельством (сертификатом) калибровки, оформленным в соответствии с положениями межгосударственного стандарта, и (или) знаком калибровки, который наносится на средство измерений и (или) проставляется в паспорт средства измерений в предусмотренное для этого место (по указанию заказчика).</w:t>
      </w:r>
    </w:p>
    <w:p>
      <w:pPr>
        <w:pStyle w:val="Heading2"/>
      </w:pPr>
      <w:r>
        <w:t xml:space="preserve">Пункт 11</w:t>
      </w:r>
    </w:p>
    <w:p>
      <w:r>
        <w:t xml:space="preserve">11. В случае если в заявке заказчика указана необходимость получения заключения, предусмотренного пунктом 8 настоящего Порядка, и включения соответствующих сведений в свидетельство (сертификат) калибровки, в такой документ вносится запись о соответствии (несоответствии) средства измерений метрологическим требованиям.</w:t>
      </w:r>
    </w:p>
    <w:p>
      <w:pPr>
        <w:pStyle w:val="Heading2"/>
      </w:pPr>
      <w:r>
        <w:t xml:space="preserve">Пункт 12</w:t>
      </w:r>
    </w:p>
    <w:p>
      <w:r>
        <w:t xml:space="preserve">12. Протокол калибровки и копии свидетельства (сертификата) калибровки хранятся исполнителем в течение межкалибровочного интервала, если иное не предусмотрено законодательством государства-члена.</w:t>
      </w:r>
    </w:p>
    <w:p>
      <w:pPr>
        <w:pStyle w:val="Heading2"/>
      </w:pPr>
      <w:r>
        <w:t xml:space="preserve">Пункт 13</w:t>
      </w:r>
    </w:p>
    <w:p>
      <w:r>
        <w:t xml:space="preserve">13. Копия протокола калибровки предоставляется исполнителем заказчику по запросу в порядке, предусмотренном исполнителем.</w:t>
      </w:r>
    </w:p>
    <w:p>
      <w:pPr>
        <w:pStyle w:val="Heading2"/>
      </w:pPr>
      <w:r>
        <w:t xml:space="preserve">Пункт 14</w:t>
      </w:r>
    </w:p>
    <w:p>
      <w:r>
        <w:t xml:space="preserve">14. В случае утраты или порчи свидетельства (сертификата) калибровки исполнителем по запросу выдается дубликат. При этом в правом верхнем углу дубликата производится запись: "Дубликат выдан 20 г." с указанием номера и даты выдачи оригинала свидетельства (сертификата) калибровки.</w:t>
      </w:r>
    </w:p>
    <w:p>
      <w:pPr>
        <w:pStyle w:val="Heading2"/>
      </w:pPr>
      <w:r>
        <w:t xml:space="preserve">Пункт 15</w:t>
      </w:r>
    </w:p>
    <w:p>
      <w:r>
        <w:t xml:space="preserve">15. В случае выявления в свидетельстве (сертификате) калибровки ошибок (опечаток) допускается его замена новым свидетельством (сертификатом) калибровки, в котором фактическая дата проведения калибровки не подлежит замене, дополнительно указываются дата выдачи нового свидетельства (сертификата), причина его выдачи и сведения о ранее выданном свидетельстве (сертификате) (номер свидетельства (сертификата) и дата его выдачи).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