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решения Совета Евразийской экономической комиссии</w:t>
      </w:r>
    </w:p>
    <w:p>
      <w:r>
        <w:t xml:space="preserve">Решение. Совет Евразийской экономической комиссии. от 18.05.2021. № 54. редакция от 18.05.2021</w:t>
      </w:r>
    </w:p>
    <w:p>
      <w:pPr>
        <w:pStyle w:val="Heading2"/>
      </w:pPr>
      <w:r>
        <w:t xml:space="preserve">Текст</w:t>
      </w:r>
    </w:p>
    <w:p>
      <w:r>
        <w:t xml:space="preserve">В соответствии с пунктом 3 статьи 59 Договора о Евразийском экономическом союзе от 29 мая 2014 года и пунктами 47 и 55 приложения № 1 к Регламенту работы Евразийской экономической комиссии, утвержденному Решением Высшего Евразийского экономического совета от 23 декабря 2014 г. № 98, Совет Евразийской экономической комиссии реши л:</w:t>
      </w:r>
    </w:p>
    <w:p>
      <w:pPr>
        <w:pStyle w:val="Heading2"/>
      </w:pPr>
      <w:r>
        <w:t xml:space="preserve">Пункт 1</w:t>
      </w:r>
    </w:p>
    <w:p>
      <w:r>
        <w:t xml:space="preserve">1. Внести в решения Совета Евразийской экономической комиссии изменения согласно приложению .</w:t>
      </w:r>
    </w:p>
    <w:p>
      <w:pPr>
        <w:pStyle w:val="Heading2"/>
      </w:pPr>
      <w:r>
        <w:t xml:space="preserve">Пункт 2</w:t>
      </w:r>
    </w:p>
    <w:p>
      <w:r>
        <w:t xml:space="preserve">2. Настоящее Решение вступает в силу по истечении 30 календарных дней с даты его официального опубликования.</w:t>
      </w:r>
    </w:p>
    <w:p>
      <w:r>
        <w:t xml:space="preserve">| Члены Совета Евразийской экономической комиссии: |  |  |  |  |</w:t>
      </w:r>
    </w:p>
    <w:p>
      <w:r>
        <w:t xml:space="preserve">|---|---|---|---|---|</w:t>
      </w:r>
    </w:p>
    <w:p>
      <w:r>
        <w:t xml:space="preserve">| От Республики Армения | От Республики Беларусь | От Республики Казахстан | От Кыргызской Республики | От Российской Федерации |</w:t>
      </w:r>
    </w:p>
    <w:p>
      <w:r>
        <w:t xml:space="preserve">| М. Григорян | И. Петришенко | А. Смаилов | У. Кармышаков | А. Оверчук |</w:t>
      </w:r>
    </w:p>
    <w:p>
      <w:r>
        <w:t xml:space="preserve">|  | ПРИЛОЖЕНИЕ к Решению Совета Евразийской экономической комиссии от 18 мая 2021 г. № 54 |</w:t>
      </w:r>
    </w:p>
    <w:p>
      <w:r>
        <w:t xml:space="preserve">|---|---|</w:t>
      </w:r>
    </w:p>
    <w:p>
      <w:pPr>
        <w:pStyle w:val="Heading2"/>
      </w:pPr>
      <w:r>
        <w:t xml:space="preserve">Глава ИЗМЕНЕНИЯ, вносимые в решения Совета Евразийской экономической комиссии</w:t>
      </w:r>
    </w:p>
    <w:p>
      <w:pPr>
        <w:pStyle w:val="Heading2"/>
      </w:pPr>
      <w:r>
        <w:t xml:space="preserve">Пункт 1</w:t>
      </w:r>
    </w:p>
    <w:p>
      <w:r>
        <w:t xml:space="preserve">1. В Единых карантинных фитосанитарных требованиях карантинных фитосанитарных требованиях,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 утвержденных Решением Совета Евразийской экономической комиссии от 30 ноября 2016 г. № 157:</w:t>
      </w:r>
    </w:p>
    <w:p>
      <w:r>
        <w:t xml:space="preserve">а) в таблице 1 :</w:t>
      </w:r>
    </w:p>
    <w:p>
      <w:r>
        <w:t xml:space="preserve">пункт 7 в графе третьей после слов "свободных от" дополнить словами "вируса мозаики пепино (Pepino mosaic virus),";</w:t>
      </w:r>
    </w:p>
    <w:p>
      <w:r>
        <w:t xml:space="preserve">пункт 9 в графе третьей дополнить словами ", вируса коричневой морщинистости плодов томата (Tomato brown rugose fruit virus) и вируса мозаики пепино (Pepino mosaic virus)";</w:t>
      </w:r>
    </w:p>
    <w:p>
      <w:r>
        <w:t xml:space="preserve">пункт 10 в графе третьей после слов "(Potato spindle tuber viroid)" дополнить словами ", вируса коричневой морщинистости плодов томата (Tomato brown rugose fruit virus), вируса мозаики пепино (Pepino mosaic virus)";</w:t>
      </w:r>
    </w:p>
    <w:p>
      <w:r>
        <w:t xml:space="preserve">дополнить пунктом 12 1 следующего содержания:</w:t>
      </w:r>
    </w:p>
    <w:p>
      <w:r>
        <w:t xml:space="preserve">| "12 1 | Семена базилика (Ocimum basilicum) для посева (из 1209 99 990 0) | c соблюдением пункта 1 настоящей таблицы. Должны происходить из зон и (или) мест производства, свободных от вируса мозаики пепино (Pepino mosaic virus)"; |</w:t>
      </w:r>
    </w:p>
    <w:p>
      <w:r>
        <w:t xml:space="preserve">|---|---|---|</w:t>
      </w:r>
    </w:p>
    <w:p>
      <w:pPr>
        <w:pStyle w:val="Heading2"/>
      </w:pPr>
      <w:r>
        <w:t xml:space="preserve">Текст</w:t>
      </w:r>
    </w:p>
    <w:p>
      <w:r>
        <w:t xml:space="preserve">пункт 13 в графе третьей после слов "(Potato spindle tuber viroid)," дополнить словами "вируса мозаики пепино (Pepino mosaic virus), вируса пятнистого увядания томата (Tomato spotted wilt virus),";</w:t>
      </w:r>
    </w:p>
    <w:p>
      <w:pPr>
        <w:pStyle w:val="Heading2"/>
      </w:pPr>
      <w:r>
        <w:t xml:space="preserve">Текст</w:t>
      </w:r>
    </w:p>
    <w:p>
      <w:r>
        <w:t xml:space="preserve">пункт 14 в графе третьей после слов "(Andean potato latent tymovirus)," дополнить словами "вируса мозаики пепино (Pepino mosaic virus), вируса пятнистого увядания томата (Tomato spotted wilt virus),";</w:t>
      </w:r>
    </w:p>
    <w:p>
      <w:pPr>
        <w:pStyle w:val="Heading2"/>
      </w:pPr>
      <w:r>
        <w:t xml:space="preserve">Текст</w:t>
      </w:r>
    </w:p>
    <w:p>
      <w:r>
        <w:t xml:space="preserve">пункт 30 в графе третьей после слов "(Globodera pallida)," дополнить словами "вируса пятнистого увядания томата (Tomato spotted wilt virus),";</w:t>
      </w:r>
    </w:p>
    <w:p>
      <w:pPr>
        <w:pStyle w:val="Heading2"/>
      </w:pPr>
      <w:r>
        <w:t xml:space="preserve">Текст</w:t>
      </w:r>
    </w:p>
    <w:p>
      <w:r>
        <w:t xml:space="preserve">пункт 31 в графе третьей после слов "свободных от" дополнить словами "вируса пятнистого увядания томата (Tomato spotted wilt virus) и";</w:t>
      </w:r>
    </w:p>
    <w:p>
      <w:pPr>
        <w:pStyle w:val="Heading2"/>
      </w:pPr>
      <w:r>
        <w:t xml:space="preserve">Текст</w:t>
      </w:r>
    </w:p>
    <w:p>
      <w:r>
        <w:t xml:space="preserve">пункт 43 в графе третьей после слов "(Frankliniella insularis)," дополнить словами "вируса пятнистого увядания томата (Tomato spotted wilt virus),";</w:t>
      </w:r>
    </w:p>
    <w:p>
      <w:pPr>
        <w:pStyle w:val="Heading2"/>
      </w:pPr>
      <w:r>
        <w:t xml:space="preserve">Текст</w:t>
      </w:r>
    </w:p>
    <w:p>
      <w:r>
        <w:t xml:space="preserve">пункт 46 в графе третьей после слов "(Chrysanthemum stunt pospoviroid)" дополнить словами ", вируса пятнистого увядания томата (Tomato spotted wilt virus)";</w:t>
      </w:r>
    </w:p>
    <w:p>
      <w:pPr>
        <w:pStyle w:val="Heading2"/>
      </w:pPr>
      <w:r>
        <w:t xml:space="preserve">Текст</w:t>
      </w:r>
    </w:p>
    <w:p>
      <w:r>
        <w:t xml:space="preserve">пункт 47 в графе третьей после слов "(Cydia prunivora)," дополнить словами "вируса пятнистого увядания томата (Tomato spotted wilt virus),";</w:t>
      </w:r>
    </w:p>
    <w:p>
      <w:pPr>
        <w:pStyle w:val="Heading2"/>
      </w:pPr>
      <w:r>
        <w:t xml:space="preserve">Текст</w:t>
      </w:r>
    </w:p>
    <w:p>
      <w:r>
        <w:t xml:space="preserve">пункт 52 в графе третьей после слов "(Ralstonia solanacearum)" дополнить словами ", вируса коричневой морщинистости плодов томата (Tomato brown rugose fruit virus), вируса мозаики пепино (Pepino mosaic virus), вируса пятнистого увядания томата (Tomato spotted wilt virus)";</w:t>
      </w:r>
    </w:p>
    <w:p>
      <w:pPr>
        <w:pStyle w:val="Heading2"/>
      </w:pPr>
      <w:r>
        <w:t xml:space="preserve">Текст</w:t>
      </w:r>
    </w:p>
    <w:p>
      <w:r>
        <w:t xml:space="preserve">дополнить пунктами 52 1 – 52 3 следующего содержания:</w:t>
      </w:r>
    </w:p>
    <w:p>
      <w:r>
        <w:t xml:space="preserve">| "52 1 | Рассада баклажана (Solanum melongena) (из 0602 90 300 0) | с соблюдением пункта 47 настоящей таблицы. Должна происходить из зон, мест и (или) участков производства, свободных от вируса коричневой морщинистости плодов томата (Tomato brown rugose fruit virus), вируса мозаики пепино (Pepino mosaic virus) и вируса пятнистого увядания томата (Tomato spotted wilt virus) |</w:t>
      </w:r>
    </w:p>
    <w:p>
      <w:r>
        <w:t xml:space="preserve">|---|---|---|</w:t>
      </w:r>
    </w:p>
    <w:p>
      <w:r>
        <w:t xml:space="preserve">| 52 2 | Рассада перца (Capsicum annuum) (из 0602 90 300 0) | с соблюдением пункта 47 настоящей таблицы. Должна происходить из зон, мест и (или) участков производства, свободных от вируса коричневой морщинистости плодов томата (Tomato brown rugose fruit virus), вируса мозаики пепино (Pepino mosaic virus) и вируса пятнистого увядания томата (Tomato spotted wilt virus) |</w:t>
      </w:r>
    </w:p>
    <w:p>
      <w:r>
        <w:t xml:space="preserve">| 52 3 | Растения пепино (Solanum muricatum) (из 0602 10 900 0, 0602 20 200 0, 0602 20 800 0) | с соблюдением пункта 47 настоящей таблицы. Должны происходить из зон, мест и (или) участков производства, свободных от вируса мозаики пепино (Pepino mosaic virus)"; |</w:t>
      </w:r>
    </w:p>
    <w:p>
      <w:pPr>
        <w:pStyle w:val="Heading2"/>
      </w:pPr>
      <w:r>
        <w:t xml:space="preserve">Текст</w:t>
      </w:r>
    </w:p>
    <w:p>
      <w:r>
        <w:t xml:space="preserve">пункт 53 в графе третьей после слов "(Opogona sacchari)," дополнить словами "вируса пятнистого увядания томата (Tomato spotted wilt virus),";</w:t>
      </w:r>
    </w:p>
    <w:p>
      <w:pPr>
        <w:pStyle w:val="Heading2"/>
      </w:pPr>
      <w:r>
        <w:t xml:space="preserve">Текст</w:t>
      </w:r>
    </w:p>
    <w:p>
      <w:r>
        <w:t xml:space="preserve">б) в таблице 2 :</w:t>
      </w:r>
    </w:p>
    <w:p>
      <w:pPr>
        <w:pStyle w:val="Heading2"/>
      </w:pPr>
      <w:r>
        <w:t xml:space="preserve">Текст</w:t>
      </w:r>
    </w:p>
    <w:p>
      <w:r>
        <w:t xml:space="preserve">пункт 1 в графе третьей после слов "(Potato spindle tuber viroid)," дополнить словами "вируса мозаики пепино (Pepino mosaic virus), вируса пятнистого увядания томата (Tomato spotted wilt virus),";</w:t>
      </w:r>
    </w:p>
    <w:p>
      <w:pPr>
        <w:pStyle w:val="Heading2"/>
      </w:pPr>
      <w:r>
        <w:t xml:space="preserve">Текст</w:t>
      </w:r>
    </w:p>
    <w:p>
      <w:r>
        <w:t xml:space="preserve">пункт 2 в графе третьей после слов "(Helicoverpa zea)," дополнить словами "вируса коричневой морщинистости плодов томата (Tomato brown rugose fruit virus), вируса мозаики пепино (Pepino mosaic virus), вируса пятнистого увядания томата (Tomato spotted wilt virus),";</w:t>
      </w:r>
    </w:p>
    <w:p>
      <w:pPr>
        <w:pStyle w:val="Heading2"/>
      </w:pPr>
      <w:r>
        <w:t xml:space="preserve">Текст</w:t>
      </w:r>
    </w:p>
    <w:p>
      <w:r>
        <w:t xml:space="preserve">дополнить пунктами 14 и 15 следующего содержания:</w:t>
      </w:r>
    </w:p>
    <w:p>
      <w:r>
        <w:t xml:space="preserve">| "14 | Перец свежий или охлажденный (0709 60) | должны быть свободны от вируса коричневой морщинистости плодов томата (Tomato brown rugose fruit virus), вируса мозаики пепино (Pepino mosaic virus) и вируса пятнистого увядания томата (Tomato spotted wilt virus) |</w:t>
      </w:r>
    </w:p>
    <w:p>
      <w:r>
        <w:t xml:space="preserve">|---|---|---|</w:t>
      </w:r>
    </w:p>
    <w:p>
      <w:r>
        <w:t xml:space="preserve">| 15 | Баклажаны свежие или охлажденные (0709 30 000 0) | должны быть свободны от вируса мозаики пепино (Pepino mosaic virus)". |</w:t>
      </w:r>
    </w:p>
    <w:p>
      <w:pPr>
        <w:pStyle w:val="Heading2"/>
      </w:pPr>
      <w:r>
        <w:t xml:space="preserve">Пункт 2</w:t>
      </w:r>
    </w:p>
    <w:p>
      <w:r>
        <w:t xml:space="preserve">2. В едином перечне карантинных объектов Евразийского экономического союза, утвержденном Решением Совета Евразийской экономической комиссии от 30 ноября 2016 г. № 158:</w:t>
      </w:r>
    </w:p>
    <w:p>
      <w:r>
        <w:t xml:space="preserve">а) после позиции, касающейся Peach rosette mosaic nepovirus , дополнить позицией следующего содержания:</w:t>
      </w:r>
    </w:p>
    <w:p>
      <w:r>
        <w:t xml:space="preserve">| "Pepino mosaic virus | Вирус мозаики пепино"; |</w:t>
      </w:r>
    </w:p>
    <w:p>
      <w:r>
        <w:t xml:space="preserve">|---|---|</w:t>
      </w:r>
    </w:p>
    <w:p>
      <w:pPr>
        <w:pStyle w:val="Heading2"/>
      </w:pPr>
      <w:r>
        <w:t xml:space="preserve">Текст</w:t>
      </w:r>
    </w:p>
    <w:p>
      <w:r>
        <w:t xml:space="preserve">б) после позиции, касающейся Raspberry ringspot nepovirus , дополнить позицией следующего содержания:</w:t>
      </w:r>
    </w:p>
    <w:p>
      <w:r>
        <w:t xml:space="preserve">| "Tomato brown rugose fruit virus | Вирус коричневой морщинистости плодов томата"; |</w:t>
      </w:r>
    </w:p>
    <w:p>
      <w:r>
        <w:t xml:space="preserve">|---|---|</w:t>
      </w:r>
    </w:p>
    <w:p>
      <w:pPr>
        <w:pStyle w:val="Heading2"/>
      </w:pPr>
      <w:r>
        <w:t xml:space="preserve">Текст</w:t>
      </w:r>
    </w:p>
    <w:p>
      <w:r>
        <w:t xml:space="preserve">в) после позиции, касающейся Tomato ringspot nepovirus , дополнить позицией следующего содержания:</w:t>
      </w:r>
    </w:p>
    <w:p>
      <w:r>
        <w:t xml:space="preserve">| "Tomato spotted wilt virus | Вирус пятнистого увядания томата".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