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справочник карантинных объектов Евразийского экономического союза</w:t>
      </w:r>
    </w:p>
    <w:p>
      <w:r>
        <w:t xml:space="preserve">Решение. Коллегия Евразийской экономической комиссии. от 29.11.2021. № 166. редакция от 29.11.2021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подпункта 3 пункта 22 Протокола о применении санитарных, ветеринарно-санитарных и карантинных фитосанитарных мер (приложение № 12 к Договору о Евразийском экономическом союзе от 29 мая 2014 года), пунктов 4 , 5 и 7 Протокола об информационно-коммуникационных технологиях и информационном взаимодействии в рамках Евразийского экономического союза (приложение № 3 к указанному Договору) и в соответствии с Положением о единой системе нормативно-справочной информации Евразийского экономического союза, утвержденным Решением Коллегии Евразийской экономической комиссии от 17 ноября 2015 г. № 155, Коллегия Евразийской экономической комиссии решила:</w:t>
      </w:r>
    </w:p>
    <w:p>
      <w:pPr>
        <w:pStyle w:val="Heading2"/>
      </w:pPr>
      <w:r>
        <w:t xml:space="preserve">Пункт 1</w:t>
      </w:r>
    </w:p>
    <w:p>
      <w:r>
        <w:t xml:space="preserve">1. Внести в справочник карантинных объектов Евразийского экономического союза, утвержденный Решением Коллегии Евразийской экономической комиссии от 8 июня 2017 г. № 62, изменения согласно приложению 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вступает в силу по истечении 30 календарных дней с даты его официального опубликования.</w:t>
      </w:r>
    </w:p>
    <w:p>
      <w:r>
        <w:t xml:space="preserve">| Председатель Коллегии Евразийской экономической комиссии | М. Мясникович |</w:t>
      </w:r>
    </w:p>
    <w:p>
      <w:r>
        <w:t xml:space="preserve">|---|---|</w:t>
      </w:r>
    </w:p>
    <w:p>
      <w:r>
        <w:t xml:space="preserve">|  | ПРИЛОЖЕНИЕ к Решению Коллегии Евразийской экономической комиссии от 29 ноября 2021 г. № 166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вносимые в справочник карантинных объектов Евразийского экономического союза</w:t>
      </w:r>
    </w:p>
    <w:p>
      <w:pPr>
        <w:pStyle w:val="Heading2"/>
      </w:pPr>
      <w:r>
        <w:t xml:space="preserve">Пункт 1</w:t>
      </w:r>
    </w:p>
    <w:p>
      <w:r>
        <w:t xml:space="preserve">1. В разделе I :</w:t>
      </w:r>
    </w:p>
    <w:p>
      <w:r>
        <w:t xml:space="preserve">а) в подразделе 1:</w:t>
      </w:r>
    </w:p>
    <w:p>
      <w:r>
        <w:t xml:space="preserve">после позиции с кодом "ACLRVA" дополнить позицией следующего содержания:</w:t>
      </w:r>
    </w:p>
    <w:p>
      <w:r>
        <w:t xml:space="preserve">| "ACUPFU | Aculops fuchsiae Keifer | Галловый клещ фуксии";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"AGRLAX" дополнить позициями следующего содержания:</w:t>
      </w:r>
    </w:p>
    <w:p>
      <w:r>
        <w:t xml:space="preserve">| "ALECSN | Aleurocanthus spiniferus Quaint. | Колючая горная белокрылка |</w:t>
      </w:r>
    </w:p>
    <w:p>
      <w:r>
        <w:t xml:space="preserve">|---|---|---|</w:t>
      </w:r>
    </w:p>
    <w:p>
      <w:r>
        <w:t xml:space="preserve">| ALECWO | Aleurocanthus woglumi Ashby | Черная цитрусовая белокрылка";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"ANOLGL" дополнить позициями следующего содержания:</w:t>
      </w:r>
    </w:p>
    <w:p>
      <w:r>
        <w:t xml:space="preserve">| "ANTHSI | Anthonomus signatus Say | Земляничный почкоед |</w:t>
      </w:r>
    </w:p>
    <w:p>
      <w:r>
        <w:t xml:space="preserve">|---|---|---|</w:t>
      </w:r>
    </w:p>
    <w:p>
      <w:r>
        <w:t xml:space="preserve">| AONDAU | Aonidiella aurantii (Maskell) | Красная померанцевая щитовка |</w:t>
      </w:r>
    </w:p>
    <w:p>
      <w:r>
        <w:t xml:space="preserve">| ARCHCO | Choristoneura conflictana Walk. | Большая осиновая листовертка";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"ARCHOC" дополнить позицией следующего содержания:</w:t>
      </w:r>
    </w:p>
    <w:p>
      <w:r>
        <w:t xml:space="preserve">| "AROMBU | Aromia bungii (Faldermann) | Красношейный усач";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"CALSSP" дополнить позицией следующего содержания:</w:t>
      </w:r>
    </w:p>
    <w:p>
      <w:r>
        <w:t xml:space="preserve">| "CARESE | Caryedon gonagra Fabr. | Арахисовая зерновка";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"CHONFU" дополнить позицией следующего содержания:</w:t>
      </w:r>
    </w:p>
    <w:p>
      <w:r>
        <w:t xml:space="preserve">| "CHONRO | Choristoneura rosaceana Har. | Скошеннополосая листовертка";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"CHRXER" дополнить позицией следующего содержания:</w:t>
      </w:r>
    </w:p>
    <w:p>
      <w:r>
        <w:t xml:space="preserve">| "CHRYDI | Chrysomphalus dictyospermi (Morgan) | Коричневая щитовка";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"DACUCU" дополнить позицией следующего содержания:</w:t>
      </w:r>
    </w:p>
    <w:p>
      <w:r>
        <w:t xml:space="preserve">| "DACUDO | Bactrocera dorsalis Hend. | Восточная фруктовая муха";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"DIABLO" дополнить позицией следующего содержания:</w:t>
      </w:r>
    </w:p>
    <w:p>
      <w:r>
        <w:t xml:space="preserve">| "DIABUN | Diabrotica undecimpunctata Man. | Западный пятнистый огуречный жук";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"DIABVI" дополнить позицией следующего содержания:</w:t>
      </w:r>
    </w:p>
    <w:p>
      <w:r>
        <w:t xml:space="preserve">| "DINDBI | Dinoderus bifoveolatus Woll. | Капюшонник многоядный";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"DROSSU" дополнить позицией следующего содержания:</w:t>
      </w:r>
    </w:p>
    <w:p>
      <w:r>
        <w:t xml:space="preserve">| "DRYCKU | Dryocosmus kuriphilus Yas. | Восточная каштановая орехотворка";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"FRANIS" слово "Вест-индийский" заменить словом "Вест-индский";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"GNORAB" слово "Povolny" заменить словом "Meyrick";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"LAPHFR" дополнить позициями следующего содержания:</w:t>
      </w:r>
    </w:p>
    <w:p>
      <w:r>
        <w:t xml:space="preserve">| "LASPPA | Cydia packardi Zell. | Вишневая плодожорка |</w:t>
      </w:r>
    </w:p>
    <w:p>
      <w:r>
        <w:t xml:space="preserve">|---|---|---|</w:t>
      </w:r>
    </w:p>
    <w:p>
      <w:r>
        <w:t xml:space="preserve">| LASPPR | Cydia prunivora Wals. | Американская сливовая плодожорка";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"LIRILA" исключить;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"LIRITR" дополнить позициями следующего содержания:</w:t>
      </w:r>
    </w:p>
    <w:p>
      <w:r>
        <w:t xml:space="preserve">| "MALAAM | Malacosoma americanum Fabr. | Американский коконопряд |</w:t>
      </w:r>
    </w:p>
    <w:p>
      <w:r>
        <w:t xml:space="preserve">|---|---|---|</w:t>
      </w:r>
    </w:p>
    <w:p>
      <w:r>
        <w:t xml:space="preserve">| MALADI | Malacosoma disstria Hub. | Лесной кольчатый шелкопряд";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"MARGVI" дополнить позицией следующего содержания:</w:t>
      </w:r>
    </w:p>
    <w:p>
      <w:r>
        <w:t xml:space="preserve">| "MELNCO | Melanotus communis Gyll. | Американский многоядный щелкун";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"MONCTI" дополнить позициями следующего содержания:</w:t>
      </w:r>
    </w:p>
    <w:p>
      <w:r>
        <w:t xml:space="preserve">| "OLIGPD | Oligonychus perditus Pritchard &amp; Baker | Можжевельниковый паутинный клещ |</w:t>
      </w:r>
    </w:p>
    <w:p>
      <w:r>
        <w:t xml:space="preserve">|---|---|---|</w:t>
      </w:r>
    </w:p>
    <w:p>
      <w:r>
        <w:t xml:space="preserve">| OPOGSC | Opogona sacchari Bojer | Банановая моль";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"PECTGO" дополнить позициями следующего содержания:</w:t>
      </w:r>
    </w:p>
    <w:p>
      <w:r>
        <w:t xml:space="preserve">| "PHENHI | Maconellicoccus hirsutus Green | Жестковолосый червец |</w:t>
      </w:r>
    </w:p>
    <w:p>
      <w:r>
        <w:t xml:space="preserve">|---|---|---|</w:t>
      </w:r>
    </w:p>
    <w:p>
      <w:r>
        <w:t xml:space="preserve">| PISOST | Pissodes strobi (Peck.) | Смолевка веймутовой сосны |</w:t>
      </w:r>
    </w:p>
    <w:p>
      <w:r>
        <w:t xml:space="preserve">| PISOTE | Pissodes terminalis Hopp. | Сосновая верхушечная смолевка";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"PSECCC" дополнить позицией следующего содержания:</w:t>
      </w:r>
    </w:p>
    <w:p>
      <w:r>
        <w:t xml:space="preserve">| "RHAGCI | Rhagoletis cingulata Loew. | Восточная вишневая муха";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"RHIOHI" дополнить позицией следующего содержания:</w:t>
      </w:r>
    </w:p>
    <w:p>
      <w:r>
        <w:t xml:space="preserve">| "RHYCFE | Rhynchophorus ferrugineus (Oliv.) | Красный пальмовый долгоносик";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"TROGGA" дополнить позицией следующего содержания:</w:t>
      </w:r>
    </w:p>
    <w:p>
      <w:r>
        <w:t xml:space="preserve">| "ZABRSU | Zabrotes subfassiatus Boh. | Бразильская бобовая зерновка";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"BURSXY" дополнить позицией следующего содержания:</w:t>
      </w:r>
    </w:p>
    <w:p>
      <w:r>
        <w:t xml:space="preserve">| "HETDGL | Heterodera glycines Ichinohe | Соевая нематода";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"MELGFA" заменить позициями следующего содержания:</w:t>
      </w:r>
    </w:p>
    <w:p>
      <w:r>
        <w:t xml:space="preserve">| "MELGFA | Meloidogyne fallax Karssen | Ложная колумбийская галловая нематода |</w:t>
      </w:r>
    </w:p>
    <w:p>
      <w:r>
        <w:t xml:space="preserve">|---|---|---|</w:t>
      </w:r>
    </w:p>
    <w:p>
      <w:r>
        <w:t xml:space="preserve">| MELGMY | Meloidogyne enterolobii | Корневая галловая нематода |</w:t>
      </w:r>
    </w:p>
    <w:p>
      <w:r>
        <w:t xml:space="preserve">| NACOBA | Nacobbus aberrans (Thorne) Thorne &amp; Allen | Ложная галловая нематода |</w:t>
      </w:r>
    </w:p>
    <w:p>
      <w:r>
        <w:t xml:space="preserve">| XIPHRI | Xiphinema rivesi | Нематода-кинжал";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"CERAFA" дополнить позицией следующего содержания:</w:t>
      </w:r>
    </w:p>
    <w:p>
      <w:r>
        <w:t xml:space="preserve">| "CERSPD | Mycosphaerella gibsonii H.C. Evans | Коричневый ожог хвои сосны";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"COCHCA" дополнить позициями следующего содержания:</w:t>
      </w:r>
    </w:p>
    <w:p>
      <w:r>
        <w:t xml:space="preserve">| "CRONFU | Cronartium fusiforme Hed. &amp; Hunt ex Cum. | Веретеноподобная ржавчина сосны |</w:t>
      </w:r>
    </w:p>
    <w:p>
      <w:r>
        <w:t xml:space="preserve">|---|---|---|</w:t>
      </w:r>
    </w:p>
    <w:p>
      <w:r>
        <w:t xml:space="preserve">| CRONQU | Cronartium quercuum (Berkeley) Miyabe ex Shirai | Рожковидная ржавчина буковых";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"DIPDMC" дополнить позицией следующего содержания:</w:t>
      </w:r>
    </w:p>
    <w:p>
      <w:r>
        <w:t xml:space="preserve">| "ENDCHA | Endocronartium harknessii (J.P. Moore) Y. Hiratsuka | Западная галлоподобная ржавчина сосны";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"GLOMGO" дополнить позициями следующего содержания:</w:t>
      </w:r>
    </w:p>
    <w:p>
      <w:r>
        <w:t xml:space="preserve">| "GYMNYA | Gymnosporangium yamadae Miyabe ex Yamada | Ржавчина яблони и можжевельника |</w:t>
      </w:r>
    </w:p>
    <w:p>
      <w:r>
        <w:t xml:space="preserve">|---|---|---|</w:t>
      </w:r>
    </w:p>
    <w:p>
      <w:r>
        <w:t xml:space="preserve">| MELMME | Melampsora medusae Thümen | Ржавчина тополя";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"MONIFC" дополнить позицией следующего содержания:</w:t>
      </w:r>
    </w:p>
    <w:p>
      <w:r>
        <w:t xml:space="preserve">| "MYCOLL | Mycosphaerella laricis-leptolepidis K. Ito, K. Sato &amp; M. Ota | Септориоз хвои японской лиственницы";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"NEOVIN" дополнить позицией следующего содержания:</w:t>
      </w:r>
    </w:p>
    <w:p>
      <w:r>
        <w:t xml:space="preserve">| "PHIACI | Phialophora cinerescens (Wollenweber) van Beyma | Фиалофоровое увядание гвоздики";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"PHMPOM" дополнить позицией следующего содержания:</w:t>
      </w:r>
    </w:p>
    <w:p>
      <w:r>
        <w:t xml:space="preserve">| "PHOMAN | Phoma andigena Turkensteen | Черный ожог, фомозная пятнистость листьев картофеля";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"ERWIST" дополнить позицией следующего содержания:</w:t>
      </w:r>
    </w:p>
    <w:p>
      <w:r>
        <w:t xml:space="preserve">| "LIBEPS | Candidatus Liberibacter solanacearum (Candidatus Liberibacter psyllaurous, Zebra Chip Disease) | Зебра чип";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"PSDMAC" дополнить позицией следующего содержания:</w:t>
      </w:r>
    </w:p>
    <w:p>
      <w:r>
        <w:t xml:space="preserve">| "PSDMCA | Burkholderia caryophylli (Burkholder) Yabuuchi et al. | Бактериальный вилт гвоздики";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"XANTAM" дополнить позицией следующего содержания:</w:t>
      </w:r>
    </w:p>
    <w:p>
      <w:r>
        <w:t xml:space="preserve">| "XANTHY | Xanthomonas campestris pv. hyacinthi (Wakker) Dovson. | Желтая болезнь гиацинта";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"XANTTO" заменить позициями следующего содержания:</w:t>
      </w:r>
    </w:p>
    <w:p>
      <w:r>
        <w:t xml:space="preserve">| "XANTTO | Xanthonomas oryzae pv. Oryzicola (Fang et al.) Swings et al. | Бактериальная полосатость риса |</w:t>
      </w:r>
    </w:p>
    <w:p>
      <w:r>
        <w:t xml:space="preserve">|---|---|---|</w:t>
      </w:r>
    </w:p>
    <w:p>
      <w:r>
        <w:t xml:space="preserve">| XYLEFA | Xylella fastidiosa Wells et al. | Бактериоз винограда (болезнь Пирса)";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"CRLV00" дополнить позициями следующего содержания:</w:t>
      </w:r>
    </w:p>
    <w:p>
      <w:r>
        <w:t xml:space="preserve">| "CSNV00 | Chrysanthemum stem necrosis tospovirus | Тосповирус некроза побегов хризантемы |</w:t>
      </w:r>
    </w:p>
    <w:p>
      <w:r>
        <w:t xml:space="preserve">|---|---|---|</w:t>
      </w:r>
    </w:p>
    <w:p>
      <w:r>
        <w:t xml:space="preserve">| CSVD00 | Chrysanthemum stunt pospoviroid | Вироид карликовости хризантем |</w:t>
      </w:r>
    </w:p>
    <w:p>
      <w:r>
        <w:t xml:space="preserve">| PBRSV0 | Potato black ringspot nepovirus | Неповирус черной кольцевой пятнистости картофеля" |</w:t>
      </w:r>
    </w:p>
    <w:p>
      <w:r>
        <w:t xml:space="preserve">| PEPMV0 | Pepino mosaic virus | Вирус мозаики пепино";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"PVT000" заменить позициями следующего содержания:</w:t>
      </w:r>
    </w:p>
    <w:p>
      <w:r>
        <w:t xml:space="preserve">| "PVT000 | Potato virus T | Вирус Т картофеля |</w:t>
      </w:r>
    </w:p>
    <w:p>
      <w:r>
        <w:t xml:space="preserve">|---|---|---|</w:t>
      </w:r>
    </w:p>
    <w:p>
      <w:r>
        <w:t xml:space="preserve">| PYDV00 | Potato yellow dwarf nucleorhabdovirus | Рабдовирус желтой карликовости картофеля"; 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"PYV000" дополнить позициями следующего содержания:</w:t>
      </w:r>
    </w:p>
    <w:p>
      <w:r>
        <w:t xml:space="preserve">| "PYVV00 | Potato yellow vein crinivirus | Кринивирус пожелтения жилок картофеля |</w:t>
      </w:r>
    </w:p>
    <w:p>
      <w:r>
        <w:t xml:space="preserve">|---|---|---|</w:t>
      </w:r>
    </w:p>
    <w:p>
      <w:r>
        <w:t xml:space="preserve">| RPRSV0 | Raspberry ringspot nepovirus | Неповирус кольцевой пятнистости малины |</w:t>
      </w:r>
    </w:p>
    <w:p>
      <w:r>
        <w:t xml:space="preserve">| TOBRFV | Tomato brown rugose fruit virus | Вирус коричневой морщинистости плодов томата"; |</w:t>
      </w:r>
    </w:p>
    <w:p>
      <w:pPr>
        <w:pStyle w:val="Heading2"/>
      </w:pPr>
      <w:r>
        <w:t xml:space="preserve">Текст</w:t>
      </w:r>
    </w:p>
    <w:p>
      <w:r>
        <w:t xml:space="preserve">перед позицией с кодом "BIDPI" дополнить позицией следующего содержания:</w:t>
      </w:r>
    </w:p>
    <w:p>
      <w:r>
        <w:t xml:space="preserve">| "BIDBI | Bidens bipinnata L. | Череда дваждыперистая";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после позиции с кодом "IVAAX" дополнить позицией следующего содержания:</w:t>
      </w:r>
    </w:p>
    <w:p>
      <w:r>
        <w:t xml:space="preserve">| "SIYAN | Sicyos angulatus L. | Сициос угловатый";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б) в подразделе 2:</w:t>
      </w:r>
    </w:p>
    <w:p>
      <w:pPr>
        <w:pStyle w:val="Heading2"/>
      </w:pPr>
      <w:r>
        <w:t xml:space="preserve">Текст</w:t>
      </w:r>
    </w:p>
    <w:p>
      <w:r>
        <w:t xml:space="preserve">в позиции с кодом "CARSNI" слова "niponensis Wlsingham" заменить словами "sasakii Matsumura";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"SYNCEN" заменить позициями следующего содержания:</w:t>
      </w:r>
    </w:p>
    <w:p>
      <w:r>
        <w:t xml:space="preserve">| "SYNCEN | Synchytrium endobioticum (Schilbersky) Percival | Рак картофеля |</w:t>
      </w:r>
    </w:p>
    <w:p>
      <w:r>
        <w:t xml:space="preserve">|---|---|---|</w:t>
      </w:r>
    </w:p>
    <w:p>
      <w:r>
        <w:t xml:space="preserve">| TILLCO | Tilletia controversa Kuhn | Карликовая головня пшеницы"; |</w:t>
      </w:r>
    </w:p>
    <w:p>
      <w:pPr>
        <w:pStyle w:val="Heading2"/>
      </w:pPr>
      <w:r>
        <w:t xml:space="preserve">Текст</w:t>
      </w:r>
    </w:p>
    <w:p>
      <w:r>
        <w:t xml:space="preserve">позицию с кодом "TRSV00" заменить позициями следующего содержания:</w:t>
      </w:r>
    </w:p>
    <w:p>
      <w:r>
        <w:t xml:space="preserve">| TRSV00 | Tobacco ringspot nepovirus | Неповирус кольцевой пятнистости табака |</w:t>
      </w:r>
    </w:p>
    <w:p>
      <w:r>
        <w:t xml:space="preserve">|---|---|---|</w:t>
      </w:r>
    </w:p>
    <w:p>
      <w:r>
        <w:t xml:space="preserve">| TSWV00 | Tomato spotted wilt virus | Вирус пятнистого увядания томата". |</w:t>
      </w:r>
    </w:p>
    <w:p>
      <w:pPr>
        <w:pStyle w:val="Heading2"/>
      </w:pPr>
      <w:r>
        <w:t xml:space="preserve">Пункт 2</w:t>
      </w:r>
    </w:p>
    <w:p>
      <w:r>
        <w:t xml:space="preserve">2. Позицию 5 раздела II изложить в следующей редакции:</w:t>
      </w:r>
    </w:p>
    <w:p>
      <w:r>
        <w:t xml:space="preserve">| "5 | Обозначение | ЕС 1023-2021 (ред. 2)". |</w:t>
      </w:r>
    </w:p>
    <w:p>
      <w:r>
        <w:t xml:space="preserve">|---|---|---|</w:t>
      </w:r>
    </w:p>
    <w:p>
      <w:pPr>
        <w:pStyle w:val="Heading2"/>
      </w:pPr>
      <w:r>
        <w:t xml:space="preserve">Пункт 3</w:t>
      </w:r>
    </w:p>
    <w:p>
      <w:r>
        <w:t xml:space="preserve">3. В разделе III таблицу изложить в следующей редакции:</w:t>
      </w:r>
    </w:p>
    <w:p>
      <w:r>
        <w:t xml:space="preserve">"Таблица</w:t>
      </w:r>
    </w:p>
    <w:p>
      <w:r>
        <w:t xml:space="preserve">| Наименование реквизита | Описание реквизита | Правила формирования значения реквизита | Мн. |  |  |  |  |</w:t>
      </w:r>
    </w:p>
    <w:p>
      <w:r>
        <w:t xml:space="preserve">|---|---|---|---|---|---|---|---|</w:t>
      </w:r>
    </w:p>
    <w:p>
      <w:r>
        <w:t xml:space="preserve">| 1. Раздел справочника карантинных объектов | определяется областями значений вложенных реквизитов | определяется правилами формирования вложенных реквизитов | 1..* |  |  |  |  |</w:t>
      </w:r>
    </w:p>
    <w:p>
      <w:r>
        <w:t xml:space="preserve">|  | 1.1. Код раздела справочника карантинных объектов | нормализованная строка символов. Шаблон: \d | кодовое обозначение формируется с использованием порядкового метода кодирования | 1 |  |  |  |</w:t>
      </w:r>
    </w:p>
    <w:p>
      <w:r>
        <w:t xml:space="preserve">|  | 1.2. Наименование раздела справочника карантинных объектов | строка символов. Мин. длина: 1. Макс. длина: 300 | формируется в виде текста на русском языке | 1 |  |  |  |</w:t>
      </w:r>
    </w:p>
    <w:p>
      <w:r>
        <w:t xml:space="preserve">|  | 1.3. Подраздел справочника карантинных объектов | определяется областями значений вложенных реквизитов | определяется правилами формирования вложенных реквизитов | 1..* |  |  |  |</w:t>
      </w:r>
    </w:p>
    <w:p>
      <w:r>
        <w:t xml:space="preserve">|  |  | 1.3.1. Код подраздела справочника карантинных объектов | нормализованная строка символов. Шаблон: [A-Z] | кодовое обозначение формируется с использованием серийно-порядкового метода кодирования | 1 |  |  |</w:t>
      </w:r>
    </w:p>
    <w:p>
      <w:r>
        <w:t xml:space="preserve">|  |  | 1.3.2. Наименование подраздела справочника карантинных объектов | строка символов. Мин. длина: 1. Макс. длина: 300 | формируется в виде текста на русском языке | 1 |  |  |</w:t>
      </w:r>
    </w:p>
    <w:p>
      <w:r>
        <w:t xml:space="preserve">|  |  | 1.3.3. Карантинный объект | определяется областями значений вложенных реквизитов | определяется правилами формирования вложенных реквизитов | 1..* |  |  |</w:t>
      </w:r>
    </w:p>
    <w:p>
      <w:r>
        <w:t xml:space="preserve">|  |  |  | 1.3.3.1. Код карантинного объекта | нормализованная строка символов. Шаблон: [A-Z, 0-9] {6}\|[A-Z,0-9]{5} | кодовое обозначение формируется с использованием серийно-порядкового метода кодирования | 1 |  |</w:t>
      </w:r>
    </w:p>
    <w:p>
      <w:r>
        <w:t xml:space="preserve">|  |  |  | 1.3.3.2. Международное научное название карантинного объекта | строка символов. Мин. длина: 1. Макс. длина: 300 | формируется в соответствии с биологической номенклатурой | 1 |  |</w:t>
      </w:r>
    </w:p>
    <w:p>
      <w:r>
        <w:t xml:space="preserve">|  |  |  | 1.3.3.3. Название карантинного объекта на русском языке | строка символов. Мин. длина: 1. Макс. длина: 300 | формируется в виде текста на русском языке | 1 |  |</w:t>
      </w:r>
    </w:p>
    <w:p>
      <w:r>
        <w:t xml:space="preserve">|  |  |  | 1.3.3.4. Сведения о записи справочника (классификатора) | определяется областями значений вложенных реквизитов | содержит сведения о датах начала и окончания действия записи, а также сведения о нормативных правовых актах, регламентирующих начало и окончание действия записи | 1 |  |</w:t>
      </w:r>
    </w:p>
    <w:p>
      <w:r>
        <w:t xml:space="preserve">|  |  |  | *.1. Дата начала действия записи справочника (классификатора) | дата в соответствии с ГОСТ ИСО 8601–2001 | соответствует дате начала действия, указанной в акте органа Евразийского экономического союза | 1 |  |</w:t>
      </w:r>
    </w:p>
    <w:p>
      <w:r>
        <w:t xml:space="preserve">|  |  |  | *.2. Сведения об акте, регламентирующем начало действия записи справочника (классификатора) | определяется областями значений вложенных реквизитов | определяются правилами формирования вложенных реквизитов | 1 |  |</w:t>
      </w:r>
    </w:p>
    <w:p>
      <w:r>
        <w:t xml:space="preserve">|  |  |  | *.2.1. Вид акта | нормализованная строка символов. Шаблон: \d{5} | кодовое обозначение в соответствии с классификатором видов нормативных правовых актов международного права | 1 |  |</w:t>
      </w:r>
    </w:p>
    <w:p>
      <w:r>
        <w:t xml:space="preserve">|  |  |  | *.2.2. Номер акта | строка символов. Мин. длина: 1. Макс. длина: 50 | цифровое или буквенно-цифровое обозначение, присваиваемое акту при его регистрации | 1 |  |</w:t>
      </w:r>
    </w:p>
    <w:p>
      <w:r>
        <w:t xml:space="preserve">|  |  |  | *.2.3. Дата акта | дата в соответствии с ГОСТ ИСО 8601–2001 | соответствует дате принятия акта | 1 |  |</w:t>
      </w:r>
    </w:p>
    <w:p>
      <w:r>
        <w:t xml:space="preserve">|  |  |  | *.3. Дата окончания действия | дата в соответствии с ГОСТ ИСО 8601–2001 | соответствует дате окончания действия, указанной в акте | 0..1 |  |</w:t>
      </w:r>
    </w:p>
    <w:p>
      <w:r>
        <w:t xml:space="preserve">|  |  |  | *.4. Сведения об акте, регламентирующем окончание действия записи справочника (классификатора) | определяется областями значений вложенных реквизитов | определяются правилами формирования вложенных реквизитов | 0..1 |  |</w:t>
      </w:r>
    </w:p>
    <w:p>
      <w:r>
        <w:t xml:space="preserve">|  |  |  | *.4.1. Вид акта | нормализованная строка символов. Шаблон: \d{5} | кодовое обозначение в соответствии с классификатором видов нормативных правовых актов международного права | 1 |  |</w:t>
      </w:r>
    </w:p>
    <w:p>
      <w:r>
        <w:t xml:space="preserve">|  |  |  | *.4.2. Номер акта | строка символов. Мин. длина: 1. Макс. длина: 50 | цифровое или буквенно-цифровое обозначение, присваиваемое акту при его регистрации | 1 |  |</w:t>
      </w:r>
    </w:p>
    <w:p>
      <w:r>
        <w:t xml:space="preserve">|  |  |  | *.4.3. Дата акта | дата в соответствии с ГОСТ ИСО 8601–2001 | соответствует дате принятия акта | 1 | ".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