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отдельных вопросах, связанных с транспортными средствами для личного пользования</w:t>
      </w:r>
    </w:p>
    <w:p>
      <w:r>
        <w:t xml:space="preserve">Решение. Коллегия Евразийской экономической комиссии. от 30.06.2017. № 74. редакция от 03.04.2022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подпунктом 50 пункта 1 статьи 2 и пунктом 12 статьи 266 Таможенного кодекса Евразийского экономического союза Коллегия Евразийской экономической комиссии решила:</w:t>
      </w:r>
    </w:p>
    <w:p>
      <w:pPr>
        <w:pStyle w:val="Heading2"/>
      </w:pPr>
      <w:r>
        <w:t xml:space="preserve">Пункт 1</w:t>
      </w:r>
    </w:p>
    <w:p>
      <w:r>
        <w:t xml:space="preserve">1. Утвердить прилагаемые:</w:t>
      </w:r>
    </w:p>
    <w:p>
      <w:r>
        <w:t xml:space="preserve">перечень отдельных видов авто- и мототранспортных средств и прицепов к авто- и мототранспортным средствам, являющихся транспортными средствами для личного пользования;</w:t>
      </w:r>
    </w:p>
    <w:p>
      <w:r>
        <w:t xml:space="preserve">Порядок определения момента выпуска и рабочего объема двигателя авто- и мототранспортных средств, являющихся транспортными средствами для личного пользования.</w:t>
      </w:r>
    </w:p>
    <w:p>
      <w:pPr>
        <w:pStyle w:val="Heading2"/>
      </w:pPr>
      <w:r>
        <w:t xml:space="preserve">Пункт 2</w:t>
      </w:r>
    </w:p>
    <w:p>
      <w:r>
        <w:t xml:space="preserve">2. Настоящее Решение вступает в силу по истечении 30 календарных дней с даты его официального опубликования, но не ранее даты вступления в силу Договора о Таможенном кодексе Евразийского экономического союза от 11 апреля 2017 года.</w:t>
      </w:r>
    </w:p>
    <w:p>
      <w:r>
        <w:t xml:space="preserve">| Председатель Коллегии Евразийской экономической комиссии | Т. Саркисян |</w:t>
      </w:r>
    </w:p>
    <w:p>
      <w:r>
        <w:t xml:space="preserve">|---|---|</w:t>
      </w:r>
    </w:p>
    <w:p>
      <w:r>
        <w:t xml:space="preserve">|  | УТВЕРЖДЕН Решением Коллегии Евразийской экономической комиссии от 30 июня 2017 г. № 74 |</w:t>
      </w:r>
    </w:p>
    <w:p>
      <w:r>
        <w:t xml:space="preserve">|---|---|</w:t>
      </w:r>
    </w:p>
    <w:p>
      <w:pPr>
        <w:pStyle w:val="Heading2"/>
      </w:pPr>
      <w:r>
        <w:t xml:space="preserve">Глава ПЕРЕЧЕНЬ отдельных видов авто- и мототранспортных средств и прицепов к авто- и мототранспортным средствам, являющихся транспортными средствами для личного пользования</w:t>
      </w:r>
    </w:p>
    <w:p>
      <w:pPr>
        <w:pStyle w:val="Heading2"/>
      </w:pPr>
      <w:r>
        <w:t xml:space="preserve">Пункт 1</w:t>
      </w:r>
    </w:p>
    <w:p>
      <w:r>
        <w:t xml:space="preserve">1. Автомобили легковые (за исключением автомобилей, специально предназначенных для медицинских целей) и прочие моторные транспортные средства, предназначенные главным образом для перевозки людей, классифицируемые в товарной позиции 8703 ТН ВЭД ЕАЭС.</w:t>
      </w:r>
    </w:p>
    <w:p>
      <w:pPr>
        <w:pStyle w:val="Heading2"/>
      </w:pPr>
      <w:r>
        <w:t xml:space="preserve">Пункт 2</w:t>
      </w:r>
    </w:p>
    <w:p>
      <w:r>
        <w:t xml:space="preserve">2. Квадроциклы, снегоходы, снегоболотоходы, мотовездеходы и иные моторные транспортные средства, не предназначенные для движения по дорогам общего пользования (за исключением гоночных автомобилей, не предназначенных для движения по дорогам общего пользования), классифицируемые в товарной позиции 8703 ТН ВЭД ЕАЭС.</w:t>
      </w:r>
    </w:p>
    <w:p>
      <w:pPr>
        <w:pStyle w:val="Heading2"/>
      </w:pPr>
      <w:r>
        <w:t xml:space="preserve">Пункт 3</w:t>
      </w:r>
    </w:p>
    <w:p>
      <w:r>
        <w:t xml:space="preserve">3. Мотоциклы, мопеды, мотороллеры, классифицируемые в товарной позиции 8711 ТН ВЭД ЕАЭС.</w:t>
      </w:r>
    </w:p>
    <w:p>
      <w:pPr>
        <w:pStyle w:val="Heading2"/>
      </w:pPr>
      <w:r>
        <w:t xml:space="preserve">Пункт 4</w:t>
      </w:r>
    </w:p>
    <w:p>
      <w:r>
        <w:t xml:space="preserve">4. Моторные транспортные средства для перевозки не более 12 человек, включая водителя, классифицируемые в товарной позиции 8702 ТН ВЭД ЕАЭС, моторные транспортные средства для перевозки грузов с полной массой до 5 тонн включительно, классифицируемые в субпозициях 8704 21, 8704 31, 8704 41 и 8704 51 ТН ВЭД ЕАЭС, за исключением моторных транспортных средств, специально предназначенных для перевозки высокорадиоактивных материалов.</w:t>
      </w:r>
    </w:p>
    <w:p>
      <w:pPr>
        <w:pStyle w:val="Heading2"/>
      </w:pPr>
      <w:r>
        <w:t xml:space="preserve">Пункт 5</w:t>
      </w:r>
    </w:p>
    <w:p>
      <w:r>
        <w:t xml:space="preserve">5. Прицепы (за исключением прицепов для перевозки автомобилей) с полной массой до 3,5 тонны включительно, классифицируемые в товарной позиции 8716 ТН ВЭД ЕАЭС, прицепы типа "дом-автоприцеп" для проживания или для автотуристов, классифицируемые в субпозиции 8716 10 ТН ВЭД ЕАЭС.</w:t>
      </w:r>
    </w:p>
    <w:p>
      <w:r>
        <w:t xml:space="preserve">|  | УТВЕРЖДЕН Решением Коллегии Евразийской экономической комиссии от 30 июня 2017 г. № 74 |</w:t>
      </w:r>
    </w:p>
    <w:p>
      <w:r>
        <w:t xml:space="preserve">|---|---|</w:t>
      </w:r>
    </w:p>
    <w:p>
      <w:pPr>
        <w:pStyle w:val="Heading2"/>
      </w:pPr>
      <w:r>
        <w:t xml:space="preserve">Глава ПОРЯДОК определения момента выпуска и рабочего объема двигателя авто- и мототранспортных средств, являющихся транспортными средствами для личного пользования</w:t>
      </w:r>
    </w:p>
    <w:p>
      <w:pPr>
        <w:pStyle w:val="Heading2"/>
      </w:pPr>
      <w:r>
        <w:t xml:space="preserve">Пункт 1</w:t>
      </w:r>
    </w:p>
    <w:p>
      <w:r>
        <w:t xml:space="preserve">1. Настоящий Порядок устанавливает правила определения момента выпуска и рабочего объема двигателя авто- и мототранспортных средств, являющихся транспортными средствами для личного пользования (далее – транспортное средство).</w:t>
      </w:r>
    </w:p>
    <w:p>
      <w:pPr>
        <w:pStyle w:val="Heading2"/>
      </w:pPr>
      <w:r>
        <w:t xml:space="preserve">Пункт 2</w:t>
      </w:r>
    </w:p>
    <w:p>
      <w:r>
        <w:t xml:space="preserve">2. Момент выпуска, то есть дата изготовления, и рабочий объем двигателя транспортного средства определяются декларантом и таможенным органом на основании:</w:t>
      </w:r>
    </w:p>
    <w:p>
      <w:r>
        <w:t xml:space="preserve">информации о дате изготовления и рабочем объеме двигателя транспортного средства, содержащейся в документах, подтверждающих регистрацию этого средства в государстве предыдущей регистрации;</w:t>
      </w:r>
    </w:p>
    <w:p>
      <w:r>
        <w:t xml:space="preserve">информации изготовителя транспортного средства, закодированной в идентификационном номере этого средства или содержащейся на идентификационных наклейках, табличках кузова, шасси автотранспортного средства и идентификационных наклейках, табличках рамы, двигателя мототранспортного средства.</w:t>
      </w:r>
    </w:p>
    <w:p>
      <w:pPr>
        <w:pStyle w:val="Heading2"/>
      </w:pPr>
      <w:r>
        <w:t xml:space="preserve">Пункт 3</w:t>
      </w:r>
    </w:p>
    <w:p>
      <w:r>
        <w:t xml:space="preserve">3. В случае отсутствия указанной в пункте 2 настоящего Порядка информации или невозможности однозначного определения на ее основании момента выпуска и (или) рабочего объема двигателя транспортного средства, а также в целях проверки указанной информации момент выпуска и (или) рабочий объем двигателя транспортного средства определяются декларантом на основании вспомогательных источников информации, в качестве которых могут применяться заключение представителя изготовителя транспортного средства в государстве – члене Евразийского экономического союза (далее – государство-член), заключение торгово-промышленной палаты государства-члена (иной аналогичной организации) или экспертной организации государства-члена, а также другие справочные и информационные источники.</w:t>
      </w:r>
    </w:p>
    <w:p>
      <w:pPr>
        <w:pStyle w:val="Heading2"/>
      </w:pPr>
      <w:r>
        <w:t xml:space="preserve">Пункт 4</w:t>
      </w:r>
    </w:p>
    <w:p>
      <w:r>
        <w:t xml:space="preserve">4. В случае отсутствия указанной в пункте 2 настоящего Порядка информации или невозможности однозначного определения на ее основании момента выпуска и (или) рабочего объема двигателя транспортного средства, а также в целях проведения таможенного контроля (в том числе после выпуска этого средства) момент выпуска и (или) рабочий объем двигателя транспортного средства определяются таможенным органом на основании вспомогательных источников информации, в качестве которых могут применяться заключение представителя изготовителя транспортного средства в государстве-члене, заключение торгово-промышленной палаты государства-члена (иной аналогичной организации), заключение таможенного эксперта (эксперта), другие справочные и информационные источники.</w:t>
      </w:r>
    </w:p>
    <w:p>
      <w:r>
        <w:t xml:space="preserve">Таможенный орган вправе применять вспомогательные источники информации, ранее использованные в соответствии с пунктом 3 настоящего Порядка и представленные декларантом.</w:t>
      </w:r>
    </w:p>
    <w:p>
      <w:pPr>
        <w:pStyle w:val="Heading2"/>
      </w:pPr>
      <w:r>
        <w:t xml:space="preserve">Пункт 5</w:t>
      </w:r>
    </w:p>
    <w:p>
      <w:r>
        <w:t xml:space="preserve">5. В случае если на основании пунктов 2 – 4 настоящего Порядка определен год изготовления транспортного средства, моментом выпуска считается 1 июля года его изготовления, если определены год и месяц изготовления, – 15-е число месяца изготовления.</w:t>
      </w:r>
    </w:p>
    <w:p>
      <w:r>
        <w:t xml:space="preserve">В случае если на основании пунктов 2 – 4 настоящего Порядка рабочий объем двигателя транспортного средства не определен, рабочим объемом считается максимальный рабочий объем двигателя, который может устанавливаться изготовителем на соответствующую модель транспортного средства согласно справочным и информационным источникам.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