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торговли и интеграции Республики Казахстан от 24 мая 2021 года № 356-НҚ "Об установлении объема (перечня) лабораторного оборудования в отдельных отраслях"</w:t>
      </w:r>
    </w:p>
    <w:p>
      <w:r>
        <w:t xml:space="preserve">Приказ, Изменения, Дополнения. Министерство торговли и интеграции Республики Казахстан (Образован Указом Президента РК от 17.06.2019 г. № 17). от 17.10.2025. № 215826. редакция от 17.10.2025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 приказ Министра торговли и интеграции Республики Казахстан от 24 мая 2021 года № 356-НҚ "Об установлении объема (перечня) лабораторного оборудования в отдельных отраслях" (зарегистрирован в Реестре государственной регистрации нормативных правовых актов под № 22838) внести следующие изменения и дополнение:</w:t>
      </w:r>
    </w:p>
    <w:p>
      <w:r>
        <w:t xml:space="preserve">заголовок, указанного приказа изложить в следующей редакции:</w:t>
      </w:r>
    </w:p>
    <w:p>
      <w:r>
        <w:t xml:space="preserve">"Об установлении объема используемого лабораторного оборудования в отдельных отраслях";</w:t>
      </w:r>
    </w:p>
    <w:p>
      <w:r>
        <w:t xml:space="preserve">пункт 1 изложить в следующей редакции:</w:t>
      </w:r>
    </w:p>
    <w:p>
      <w:r>
        <w:t xml:space="preserve">"1. Установить:</w:t>
      </w:r>
    </w:p>
    <w:p>
      <w:pPr>
        <w:pStyle w:val="Heading2"/>
      </w:pPr>
      <w:r>
        <w:t xml:space="preserve">Подпункт 1</w:t>
      </w:r>
    </w:p>
    <w:p>
      <w:r>
        <w:t xml:space="preserve">1) объем используемого лабораторного оборудования в отдельных отраслях согласно приложению 1 к настоящему приказу.</w:t>
      </w:r>
    </w:p>
    <w:p>
      <w:r>
        <w:t xml:space="preserve">Часть первая настоящего подпункта применяется для испытательных лабораторий (центров) и (или) испытательных лабораторий (центров) органов по подтверждению соответствия, обеспечивающих проведение испытаний объектов технического регулирования на соответствие требованиям технических регламентов;</w:t>
      </w:r>
    </w:p>
    <w:p>
      <w:pPr>
        <w:pStyle w:val="Heading2"/>
      </w:pPr>
      <w:r>
        <w:t xml:space="preserve">Подпункт 2</w:t>
      </w:r>
    </w:p>
    <w:p>
      <w:r>
        <w:t xml:space="preserve">2) объем используемого лабораторного оборудования, не предусмотренного подпунктом 1) настоящего пункта, принадлежащего на законном основании испытательной лаборатории (центра) органа по подтверждению соответствия, в размере 100 (сто) процентов, обеспечивающего проведение исследований (испытаний) характеристик (показателей) продукции, заявленных в области аккредитации по показателям технических регламентов.</w:t>
      </w:r>
    </w:p>
    <w:p>
      <w:r>
        <w:t xml:space="preserve">При расчетах объема используемого лабораторного оборудования, предусмотренного частью первой настоящего подпункта, обеспечивающего проведение исследований (испытаний) характеристик (показателей) продукции, на соответствие требованиям технических регламентов, считается отдельно по каждому техническому регламенту.";</w:t>
      </w:r>
    </w:p>
    <w:p>
      <w:r>
        <w:t xml:space="preserve">дополнить приложением 1 к указанному приказу согласно приложению к настоящему приказу;</w:t>
      </w:r>
    </w:p>
    <w:p>
      <w:r>
        <w:t xml:space="preserve">пункт 2 изложить в следующей редакции:</w:t>
      </w:r>
    </w:p>
    <w:p>
      <w:r>
        <w:t xml:space="preserve">"2. При расчетах обеспеченности области аккредитации испытательных лабораторий (центров) и (или) испытательных лабораторий (центров) органов по подтверждению соответствия учитывать характеристики (показатели) объектов, требующие применения соответствующего оборудования для их определения.";</w:t>
      </w:r>
    </w:p>
    <w:p>
      <w:r>
        <w:t xml:space="preserve">пункт 3 изложить в следующей редакции:</w:t>
      </w:r>
    </w:p>
    <w:p>
      <w:r>
        <w:t xml:space="preserve">"3. Признать утратившими силу некоторые приказы по перечню согласно приложению 2 к настоящему приказу.";</w:t>
      </w:r>
    </w:p>
    <w:p>
      <w:r>
        <w:t xml:space="preserve">в приложении к указанному приказу правый верхний угол изложить в следующей редакции:</w:t>
      </w:r>
    </w:p>
    <w:p>
      <w:r>
        <w:t xml:space="preserve">|  | "Приложение 2 к приказу |</w:t>
      </w:r>
    </w:p>
    <w:p>
      <w:r>
        <w:t xml:space="preserve">|---|---|</w:t>
      </w:r>
    </w:p>
    <w:p>
      <w:r>
        <w:t xml:space="preserve">|  | Министра торговли и интеграции |</w:t>
      </w:r>
    </w:p>
    <w:p>
      <w:r>
        <w:t xml:space="preserve">|  | Республики Казахстан |</w:t>
      </w:r>
    </w:p>
    <w:p>
      <w:r>
        <w:t xml:space="preserve">|  | от 24 мая 2021 года № 356-НҚ". |</w:t>
      </w:r>
    </w:p>
    <w:p>
      <w:pPr>
        <w:pStyle w:val="Heading2"/>
      </w:pPr>
      <w:r>
        <w:t xml:space="preserve">Пункт 2</w:t>
      </w:r>
    </w:p>
    <w:p>
      <w:r>
        <w:t xml:space="preserve">2.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торговли и интеграции Республики Казахстан,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торговли и интеграции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торговли и интеграции Республики Казахстан 	А. Шаккалиев |</w:t>
      </w:r>
    </w:p>
    <w:p>
      <w:r>
        <w:t xml:space="preserve">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Министерство финансов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Министерство промышленности</w:t>
      </w:r>
    </w:p>
    <w:p>
      <w:pPr>
        <w:pStyle w:val="Heading2"/>
      </w:pPr>
      <w:r>
        <w:t xml:space="preserve">Текст</w:t>
      </w:r>
    </w:p>
    <w:p>
      <w:r>
        <w:t xml:space="preserve">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Министерство национальной экономики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r>
        <w:t xml:space="preserve">|  | Приложение к приказу |</w:t>
      </w:r>
    </w:p>
    <w:p>
      <w:r>
        <w:t xml:space="preserve">|---|---|</w:t>
      </w:r>
    </w:p>
    <w:p>
      <w:r>
        <w:t xml:space="preserve">|  | Министра торговли и интеграции |</w:t>
      </w:r>
    </w:p>
    <w:p>
      <w:r>
        <w:t xml:space="preserve">|  | Республики Казахстан |</w:t>
      </w:r>
    </w:p>
    <w:p>
      <w:r>
        <w:t xml:space="preserve">|  | "___" октября 2025 года № _____ |</w:t>
      </w:r>
    </w:p>
    <w:p>
      <w:r>
        <w:t xml:space="preserve">|  | Приложение 1 к приказу |</w:t>
      </w:r>
    </w:p>
    <w:p>
      <w:r>
        <w:t xml:space="preserve">|  | Министра торговли и интеграции |</w:t>
      </w:r>
    </w:p>
    <w:p>
      <w:r>
        <w:t xml:space="preserve">|  | Республики Казахстан |</w:t>
      </w:r>
    </w:p>
    <w:p>
      <w:r>
        <w:t xml:space="preserve">|  | от 24 мая 2021 года № 356-НҚ |</w:t>
      </w:r>
    </w:p>
    <w:p>
      <w:pPr>
        <w:pStyle w:val="Heading2"/>
      </w:pPr>
      <w:r>
        <w:t xml:space="preserve">Глава Объем используемого лабораторного оборудования в отдельных отраслях</w:t>
      </w:r>
    </w:p>
    <w:p>
      <w:r>
        <w:t xml:space="preserve">| № | Отрасли | Наименование продукции | Код ТН ВЭД ЕАЭС* | Объем используемого лабораторного оборудования, принадлежащего на праве собственности % |</w:t>
      </w:r>
    </w:p>
    <w:p>
      <w:r>
        <w:t xml:space="preserve">|---|---|---|---|---|</w:t>
      </w:r>
    </w:p>
    <w:p>
      <w:r>
        <w:t xml:space="preserve">| 1 | 2 | 3 | 4 |  |</w:t>
      </w:r>
    </w:p>
    <w:p>
      <w:r>
        <w:t xml:space="preserve">| 1. | Транспорт | Единичные транспортные средства | 8703 | 95 |</w:t>
      </w:r>
    </w:p>
    <w:p>
      <w:r>
        <w:t xml:space="preserve">| 2. | Строительство | Мрамор, травертин, или известковый туф, экауссин и другие известняки для памятников или строительства с удельным весом 2,5 или более, и алебастр,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 | 2515 | 90 |</w:t>
      </w:r>
    </w:p>
    <w:p>
      <w:r>
        <w:t xml:space="preserve">| 3. | Строительство |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 | 2516 | 90 |</w:t>
      </w:r>
    </w:p>
    <w:p>
      <w:r>
        <w:t xml:space="preserve">| 4. | Строительство | Известь негашеная, гашеная и гидравлическая, кроме оксида и гидроксида кальция, указанных в товарной позиции 2825 | 2522 | 90 |</w:t>
      </w:r>
    </w:p>
    <w:p>
      <w:r>
        <w:t xml:space="preserve">| 5. | Строительство | 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 | 2523 | 90 |</w:t>
      </w:r>
    </w:p>
    <w:p>
      <w:r>
        <w:t xml:space="preserve">| 6. | Строительство | Брусчатка, бордюрные камни и плиты для мощения из природного камня (кроме сланца) | 6801 00 000 0 | 90 |</w:t>
      </w:r>
    </w:p>
    <w:p>
      <w:r>
        <w:t xml:space="preserve">| 7. | Строительство |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 | 6802 | 90 |</w:t>
      </w:r>
    </w:p>
    <w:p>
      <w:r>
        <w:t xml:space="preserve">| 8. | Строительство |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 | 6907 | 90 |</w:t>
      </w:r>
    </w:p>
    <w:p>
      <w:pPr>
        <w:pStyle w:val="Heading2"/>
      </w:pPr>
      <w:r>
        <w:t xml:space="preserve">Текст</w:t>
      </w:r>
    </w:p>
    <w:p>
      <w:r>
        <w:t xml:space="preserve">Примечание: * – Товарная номенклатура внешнеэкономической деятельности Евразийского экономического союза.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