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финансов Республики Казахстан от 30 мая 2025 года № 272 "Об утверждении Правил исполнения бюджета и его кассового обслуживания на 2025 финансовый год"</w:t>
      </w:r>
    </w:p>
    <w:p>
      <w:r>
        <w:t xml:space="preserve">Приказ, Изменения. Министерство финансов Республики Казахстан. от 26.11.2025. № 217666. редакция от 26.11.2025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финансов Республики Казахстан от 30 мая 2025 года № 272 "Об утверждении Правил исполнения бюджета и его кассового обслуживания на 2025 финансовый год" следующие изменения:</w:t>
      </w:r>
    </w:p>
    <w:p>
      <w:r>
        <w:t xml:space="preserve">в Правилах исполнения бюджета и его кассового обслуживания на 2025 финансовый год, утвержденных указанным приказом:</w:t>
      </w:r>
    </w:p>
    <w:p>
      <w:r>
        <w:t xml:space="preserve">пункт 31 изложить в следующей редакции:</w:t>
      </w:r>
    </w:p>
    <w:p>
      <w:r>
        <w:t xml:space="preserve">"31. Внесение изменений и дополнений в сводный план поступлений и финансирования по платежам, сводный план финансирования по обязательствам, сводный план поступлений в бюджет, планы финансирования по обязательствам и платежам администраторов бюджетных программ, индивидуальные планы финансирования производится в случаях, определенных Бюджетным кодексом , а также при изменении обязательств по погашению правительственного долга, связанных с изменением курсовой разницы, при распределении распределяемых бюджетных программ, при возникновении факторов, требующих корректировки помесячных поступлений и расходов республиканского и местных бюджетов и корректировки сумм между подпрограммами внутри одной бюджетной программы и спецификами экономической классификации расходов в планах финансирования администраторов бюджетных программ и индивидуальных планах финансирования.</w:t>
      </w:r>
    </w:p>
    <w:p>
      <w:r>
        <w:t xml:space="preserve">Внесение изменений и дополнений в сводный план поступлений и финансирования по платежам, сводный план финансирования по обязательствам осуществляется справками о внесении изменений в сводный план поступлений, сводный план финансирования по платежам и сводный план финансирования по обязательствам, формируемыми государственным казначейством, местным уполномоченным органом по исполнению бюджета, аппаратом акима города районного значения, села, поселка, сельского округа на основании полученных от администраторов бюджетных программ заявок на изменение планов финансирования по обязательствам и платежам с прилагаемыми расчетами и обоснованием изменений и на основании полученных заявок от государственных органов, осуществляющих контроль за исполнением налоговых, таможенных и других обязательных платежей в бюджет, на изменение планов поступлений доходов с прилагаемыми расчетами и обоснованием изменений. При этом заявки на изменение планов поступлений доходов представляются на следующий рабочий день после 25 числа, текущего месяца.</w:t>
      </w:r>
    </w:p>
    <w:p>
      <w:r>
        <w:t xml:space="preserve">Внесение изменений и дополнений в индивидуальные планы финансирования осуществляется справками о внесении изменений и дополнений в индивидуальные планы финансирования, составленными в соответствии с единой бюджетной классификацией Республики Казахстан формируемыми администраторами бюджетных программ на основании полученных от государственных учреждений заявок на изменение индивидуальных планов финансирования по обязательствам и платежам (далее - заявка государственного учреждения) с прилагаемыми расчетами и обоснованием изменений.</w:t>
      </w:r>
    </w:p>
    <w:p>
      <w:r>
        <w:t xml:space="preserve">Суммы изменений в заявках и справках указываются в тысячах тенге, числами с дробным остатком, не более одного знака после запятой. Заявки и справки составляются по формам, согласно приложениям 26 , 27 , 28 , 29 , 30 , 31 , 32 , 33 , 34 , 35 , 36 , 37 , 38 , 39 , 40 , 41 и 42 к настоящим Правилам.";</w:t>
      </w:r>
    </w:p>
    <w:p>
      <w:r>
        <w:t xml:space="preserve">пункт 41 изложить в следующей редакции:</w:t>
      </w:r>
    </w:p>
    <w:p>
      <w:r>
        <w:t xml:space="preserve">"41. Заявка администратора бюджетных программ по внесению изменений в помесячные объемы расходов по бюджетным программам формируется администратором бюджетных программ в соответствии с заявками государственных учреждений, в пределах сумм, предусмотренной по бюджетной программе (подпрограмме), за исключением случаев изменения обязательств по погашению правительственного долга, связанных с изменением курсовой разницы.</w:t>
      </w:r>
    </w:p>
    <w:p>
      <w:r>
        <w:t xml:space="preserve">Заявка на изменение планов финансирования администраторов бюджетных программ по платежам и обязательствам по получаемым из вышестоящего бюджета трансфертам и кредитам предоставляется соответствующему администратору бюджетных программ вышестоящего бюджета уполномоченным органом по исполнению нижестоящего бюджета, на основании которой администратор бюджетных программ вышестоящего бюджета предоставляет в порядке, установленном настоящей главой, заявку государственное казначейство уполномоченному органу по исполнению вышестоящего бюджета.";</w:t>
      </w:r>
    </w:p>
    <w:p>
      <w:r>
        <w:t xml:space="preserve">пункт 50 изложить в следующей редакции:</w:t>
      </w:r>
    </w:p>
    <w:p>
      <w:r>
        <w:t xml:space="preserve">"50. Внесение изменений в сводный план поступлений в бюджет налоговых и других обязательных поступлений в бюджет, неналоговых поступлений, поступлений от продажи основного капитала, трансфертов, сумм погашения бюджетных кредитов, от продажи финансовых активов государства, займов осуществляется уполномоченным органом по исполнению бюджета, аппаратом акима города районного значения, села, поселка, сельского округа по заявкам органов, имеющих с ним взаимоотношения по названному перечню поступлений, на основании изменений в кредитные договоры, договоры займов, соглашений о реструктуризации долга и на основании изменения плана продаж финансовых активов государства в порядке, устанавливаемом пунктом 31 настоящих Правил.</w:t>
      </w:r>
    </w:p>
    <w:p>
      <w:r>
        <w:t xml:space="preserve">Изменение годовых сумм прогноза поступлений на текущий финансовый год допускается только при уточнении бюджета на текущий финансовый год, за исключением случаев изменения обязательств по погашению правительственного долга, связанных с изменением курсовой разницы.</w:t>
      </w:r>
    </w:p>
    <w:p>
      <w:r>
        <w:t xml:space="preserve">Внесение изменений в сводный план поступлений и планы поступлений в вышестоящий бюджет, вознаграждений по бюджетным кредитам, выданным из вышестоящего бюджета нижестоящим бюджетам, сумм погашения бюджетных кредитов, выданных из вышестоящего бюджета нижестоящим бюджетам, производится уполномоченным органом по исполнению вышестоящего бюджета по заявкам уполномоченного органа по исполнению нижестоящего бюджета и аппарата акима города районного значения, села, поселка, сельского округа на основании перевыполнения планов доходов нижестоящих бюджетов, изменений условий кредитных договоров и в целях сохранения одинаковых помесячных сумм поступлений вышестоящего бюджета и сумм соответствующих расходов нижестоящих бюджетов.";</w:t>
      </w:r>
    </w:p>
    <w:p>
      <w:r>
        <w:t xml:space="preserve">пункт 159 изложить в следующей редакции:</w:t>
      </w:r>
    </w:p>
    <w:p>
      <w:r>
        <w:t xml:space="preserve">"159. Возврат из бюджета и (или) зачет излишне (ошибочно) уплаченных сумм поступлений по кодам классификации поступлений в бюджет единой бюджетной классификации Республики Казахстан осуществляется органами государственного казначейства.</w:t>
      </w:r>
    </w:p>
    <w:p>
      <w:r>
        <w:t xml:space="preserve">Возврат из бюджета и (или) зачет излишне (ошибочно) уплаченных сумм поступлений осуществляется на основании платежных поручений органов государственных доходов.</w:t>
      </w:r>
    </w:p>
    <w:p>
      <w:r>
        <w:t xml:space="preserve">Возврат излишне (ошибочно) уплаченных сумм поступлений осуществляется после исполнения всех плановых обязательств по расходам республиканского бюджета.</w:t>
      </w:r>
    </w:p>
    <w:p>
      <w:r>
        <w:t xml:space="preserve">Для возврата из бюджета плательщикам, зачета между кодами бюджетной классификации поступлений, между органами государственных доходов излишне уплаченных, ошибочно поступивших сумм (далее – возврат и (или) зачет) органом государственных доходов по информационной системе "Казначейство-клиент" представляется электронный образ платежного поручения по форме, установленной постановлением Правления Национального Банка Республики Казахстан от 31 августа 2016 года № 208 "Об утверждении Правил осуществления безналичных платежей и (или) переводов денег на территории Республики Казахстан" (зарегистрировано в Реестре государственной регистрации нормативных правовых актов под № 14419) (далее – Постановление № 208), подписанного электронной цифровой подписью руководителя органа государственных доходов или уполномоченного им лица, и уполномоченного сотрудника органа государственных доходов.</w:t>
      </w:r>
    </w:p>
    <w:p>
      <w:r>
        <w:t xml:space="preserve">При передаче платежных поручений на возврат и зачет из информационной системы "Информационная система налогового администрирования" Комитета государственных доходов в информационные системы Комитета государственного казначейства посредством интеграционной шины "Информационная система налогового администрирования" территориальные органы государственных доходов направляют электронные реестры платежных поручений, заверенные электронной цифровой подписью.</w:t>
      </w:r>
    </w:p>
    <w:p>
      <w:r>
        <w:t xml:space="preserve">При отсутствии или изменении реквизитов в Справочнике получателей денег на возврат излишне (ошибочно) уплаченных сумм в бюджет орган государственных доходов формирует в информационной системе "Казначейство-клиент" электронный образ заявки на ввод получателя денег по форме, согласно приложению 64 к настоящим Правилам или заявки на внесение изменений реквизитов получателя денег по форме, согласно приложению 67 к настоящим Правилам.</w:t>
      </w:r>
    </w:p>
    <w:p>
      <w:r>
        <w:t xml:space="preserve">Орган государственных доходов обеспечивает достоверность и правильность оформления заявки на ввод получателя денег и на внесение изменений реквизитов получателя денег.</w:t>
      </w:r>
    </w:p>
    <w:p>
      <w:r>
        <w:t xml:space="preserve">Орган государственного казначейства осуществляет прием платежных поручений, поступивших от органов государственных доходов по информационной системе "Казначейство-клиент", в течение рабочего дня до 16.00 (шестнадцать) часов. Документы, поступившие после 16.00 (шестнадцать) часов, исполняются либо возвращаются без исполнения не позднее следующего рабочего дня.";</w:t>
      </w:r>
    </w:p>
    <w:p>
      <w:r>
        <w:t xml:space="preserve">пункт 417 изложить в следующей редакции:</w:t>
      </w:r>
    </w:p>
    <w:p>
      <w:r>
        <w:t xml:space="preserve">"417. Платежи и (или) переводы денег генерального подрядчика, связанных с приобретением товаров (работ, услуг), проводятся в пределах остатков денег, находящихся на контрольном счете наличности государственных закупок, путем формирования генеральным подрядчиком платежного поручения по форме, установленной постановлением № 208, при соблюдении следующих условий:</w:t>
      </w:r>
    </w:p>
    <w:p>
      <w:pPr>
        <w:pStyle w:val="Heading2"/>
      </w:pPr>
      <w:r>
        <w:t xml:space="preserve">Подпункт 1</w:t>
      </w:r>
    </w:p>
    <w:p>
      <w:r>
        <w:t xml:space="preserve">1) основанием для формирования генеральным подрядчиком платежного поручения является платежный сертификат (при обслуживании по информационной системе "Казначейство-клиент" предоставляется сканированный образ с оригинала), электронная счет-фактура, интегрированная из информационной системы электронных счет-фактур в информационную систему "Казначейство-клиент";</w:t>
      </w:r>
    </w:p>
    <w:p>
      <w:pPr>
        <w:pStyle w:val="Heading2"/>
      </w:pPr>
      <w:r>
        <w:t xml:space="preserve">Подпункт 2</w:t>
      </w:r>
    </w:p>
    <w:p>
      <w:r>
        <w:t xml:space="preserve">2) возмещение текущих затрат, произведенных за счет собственных средств генерального подрядчика с контрольного счета наличности государственных закупок, открытого в государственном казначействе, на счета генерального подрядчика, открытые в банках второго уровня, не допускается;</w:t>
      </w:r>
    </w:p>
    <w:p>
      <w:pPr>
        <w:pStyle w:val="Heading2"/>
      </w:pPr>
      <w:r>
        <w:t xml:space="preserve">Подпункт 3</w:t>
      </w:r>
    </w:p>
    <w:p>
      <w:r>
        <w:t xml:space="preserve">3) для проведения платежей по перечислению заработной платы и других денежных выплат работникам, а также других выплат физическим лицам на их текущие или сберегательные счета, открытые в банке второго уровня, обязательных пенсионных взносов, обязательных пенсионных взносов работодателей, обязательных профессиональных взносов, добровольных пенсионных взносов и социальных отчислений, отчислений и (или) взносов на обязательное социальное медицинское страхование, платежей по договорам накопительного вида страхования по информационной системе "Казначейство-клиент" к электронному образу платежного поручения прикрепляются платежный сертификат и списки получателей денег в электронном формате платежей в соответствии с приложениями 140 , 141 , 142 , 143 и 144 к настоящим Правилам и подписываются электронной цифровой подписью генерального подрядчика и бухгалтера;</w:t>
      </w:r>
    </w:p>
    <w:p>
      <w:pPr>
        <w:pStyle w:val="Heading2"/>
      </w:pPr>
      <w:r>
        <w:t xml:space="preserve">Подпункт 4</w:t>
      </w:r>
    </w:p>
    <w:p>
      <w:r>
        <w:t xml:space="preserve">4) уплата налогов и других обязательных платежей в бюджет генеральным подрядчиком осуществляется на основании платежного поручения и платежного сертификата;</w:t>
      </w:r>
    </w:p>
    <w:p>
      <w:pPr>
        <w:pStyle w:val="Heading2"/>
      </w:pPr>
      <w:r>
        <w:t xml:space="preserve">Подпункт 5</w:t>
      </w:r>
    </w:p>
    <w:p>
      <w:r>
        <w:t xml:space="preserve">5) перечисление генеральным подрядчиком (основным участником консорциума) авансовой (предварительной) оплаты с контрольного счета наличности государственных закупок, открытого в государственном казначействе на счета субподрядчиков (участников консорциума) и (или) поставщиков, открытые в банках второго уровня, осуществляется на основании платежного сертификата;</w:t>
      </w:r>
    </w:p>
    <w:p>
      <w:pPr>
        <w:pStyle w:val="Heading2"/>
      </w:pPr>
      <w:r>
        <w:t xml:space="preserve">Подпункт 6</w:t>
      </w:r>
    </w:p>
    <w:p>
      <w:r>
        <w:t xml:space="preserve">6) генеральный подрядчик (основной участник консорциума) обеспечивает предоставление в орган государственного казначейства платежного поручения с приложением документов, указанных в настоящем пункте.</w:t>
      </w:r>
    </w:p>
    <w:p>
      <w:pPr>
        <w:pStyle w:val="Heading2"/>
      </w:pPr>
      <w:r>
        <w:t xml:space="preserve">Подпункт 7</w:t>
      </w:r>
    </w:p>
    <w:p>
      <w:r>
        <w:t xml:space="preserve">7) при заполнении платежного поручения генеральным подрядчиком (основным участником консорциума) в поле "Назначение платежа" указываются назначение платежа, номер и дата договора, заключенного между заказчиком и генеральным подрядчиком, наименование, номер и дата подтверждающих документов.";</w:t>
      </w:r>
    </w:p>
    <w:p>
      <w:pPr>
        <w:pStyle w:val="Heading2"/>
      </w:pPr>
      <w:r>
        <w:t xml:space="preserve">Приложение приложение 27 к указанным Правилам изложить в новой редакции согласно приложению к настоящему приказу.</w:t>
      </w:r>
    </w:p>
    <w:p>
      <w:pPr>
        <w:pStyle w:val="Heading2"/>
      </w:pPr>
      <w:r>
        <w:t xml:space="preserve">Пункт 2</w:t>
      </w:r>
    </w:p>
    <w:p>
      <w:r>
        <w:t xml:space="preserve">2. Департаменту бюджетного законодательства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w:t>
      </w:r>
    </w:p>
    <w:p>
      <w:pPr>
        <w:pStyle w:val="Heading2"/>
      </w:pPr>
      <w:r>
        <w:t xml:space="preserve">Пункт 3</w:t>
      </w:r>
    </w:p>
    <w:p>
      <w:r>
        <w:t xml:space="preserve">3.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финансов Республики Казахстан | М. Такиев |</w:t>
      </w:r>
    </w:p>
    <w:p>
      <w:r>
        <w:t xml:space="preserve">|---|---|</w:t>
      </w:r>
    </w:p>
    <w:p>
      <w:r>
        <w:t xml:space="preserve">|  | Приложение к приказу Министра финансов Республики Казахстан от 26 ноября 2025 года № 727 |</w:t>
      </w:r>
    </w:p>
    <w:p>
      <w:r>
        <w:t xml:space="preserve">|---|---|</w:t>
      </w:r>
    </w:p>
    <w:p>
      <w:r>
        <w:t xml:space="preserve">|  | Приложение 27 к Правилам исполнения бюджета и его кассового обслуживания на 2025 финансовый год |</w:t>
      </w:r>
    </w:p>
    <w:p>
      <w:r>
        <w:t xml:space="preserve">|  | "Утверждаю" Руководитель центрального/местного уполномоченного органа по исполнению бюджета _________________________ (подпись) (фамилия, имя, отчество (при его наличии) "___" __________ _____ года |</w:t>
      </w:r>
    </w:p>
    <w:p>
      <w:r>
        <w:t xml:space="preserve">|  | Место печати |</w:t>
      </w:r>
    </w:p>
    <w:p>
      <w:pPr>
        <w:pStyle w:val="Heading2"/>
      </w:pPr>
      <w:r>
        <w:t xml:space="preserve">Глава Справка № __ о внесении изменений в сводный план поступлений ____ бюджета на основании _______ от "__" _____ __ года</w:t>
      </w:r>
    </w:p>
    <w:p>
      <w:pPr>
        <w:pStyle w:val="Heading2"/>
      </w:pPr>
      <w:r>
        <w:t xml:space="preserve">Текст</w:t>
      </w:r>
    </w:p>
    <w:p>
      <w:r>
        <w:t xml:space="preserve">(тысяч тенге)</w:t>
      </w:r>
    </w:p>
    <w:p>
      <w:r>
        <w:t xml:space="preserve">| Наименование поступлений | Код бюджетной классификации | Сумма изменений (+, -), всего | в том числе по месяцам (в текущем месяце - изменения с нарастающим итогом за период с начала года, в последующие месяцы - изменения помесячные) |  |  |  |  |  |  |  |  |</w:t>
      </w:r>
    </w:p>
    <w:p>
      <w:r>
        <w:t xml:space="preserve">|---|---|---|---|---|---|---|---|---|---|---|---|</w:t>
      </w:r>
    </w:p>
    <w:p>
      <w:r>
        <w:t xml:space="preserve">| категория | класс | подкласс | специфика | январь | февраль | март | апрель | май | июнь | июль | август |</w:t>
      </w:r>
    </w:p>
    <w:p>
      <w:r>
        <w:t xml:space="preserve">| Плановые назначения |  |  |  |  |  |  |  |  |  |  |  |</w:t>
      </w:r>
    </w:p>
    <w:p>
      <w:r>
        <w:t xml:space="preserve">| Итого: |  |  |  |  |  |  |  |  |  |  |  |</w:t>
      </w:r>
    </w:p>
    <w:p>
      <w:pPr>
        <w:pStyle w:val="Heading2"/>
      </w:pPr>
      <w:r>
        <w:t xml:space="preserve">Текст</w:t>
      </w:r>
    </w:p>
    <w:p>
      <w:r>
        <w:t xml:space="preserve">продолжение таблицы</w:t>
      </w:r>
    </w:p>
    <w:p>
      <w:r>
        <w:t xml:space="preserve">| в том числе по месяцам (в текущем месяце - изменения с нарастающим итогом за период с начала года, в последующие месяцы - изменения помесячные) |  |  |  |</w:t>
      </w:r>
    </w:p>
    <w:p>
      <w:r>
        <w:t xml:space="preserve">|---|---|---|---|</w:t>
      </w:r>
    </w:p>
    <w:p>
      <w:r>
        <w:t xml:space="preserve">| сентябрь | октябрь | ноябрь | декабрь |</w:t>
      </w:r>
    </w:p>
    <w:p>
      <w:pPr>
        <w:pStyle w:val="Heading2"/>
      </w:pPr>
      <w:r>
        <w:t xml:space="preserve">Текст</w:t>
      </w:r>
    </w:p>
    <w:p>
      <w:r>
        <w:t xml:space="preserve">Руководитель структурного подразделения центрального/местного уполномоченного органа по исполнению бюджета, ответственного за составление сводного плана</w:t>
      </w:r>
    </w:p>
    <w:p>
      <w:pPr>
        <w:pStyle w:val="Heading2"/>
      </w:pPr>
      <w:r>
        <w:t xml:space="preserve">Текст</w:t>
      </w:r>
    </w:p>
    <w:p>
      <w:r>
        <w:t xml:space="preserve">_______________ (подпись)</w:t>
      </w:r>
    </w:p>
    <w:p>
      <w:pPr>
        <w:pStyle w:val="Heading2"/>
      </w:pPr>
      <w:r>
        <w:t xml:space="preserve">Текст</w:t>
      </w:r>
    </w:p>
    <w:p>
      <w:r>
        <w:t xml:space="preserve">Руководитель структурного подразделения центрального/местного уполномоченного органа по исполнению бюджета, ответственного за составление плана поступлений</w:t>
      </w:r>
    </w:p>
    <w:p>
      <w:pPr>
        <w:pStyle w:val="Heading2"/>
      </w:pPr>
      <w:r>
        <w:t xml:space="preserve">Текст</w:t>
      </w:r>
    </w:p>
    <w:p>
      <w:r>
        <w:t xml:space="preserve">_______________ (подпись)</w:t>
      </w:r>
    </w:p>
    <w:p>
      <w:pPr>
        <w:pStyle w:val="Heading2"/>
      </w:pPr>
      <w:r>
        <w:t xml:space="preserve">Текст</w:t>
      </w:r>
    </w:p>
    <w:p>
      <w:r>
        <w:t xml:space="preserve">Справка – в двух экземплярах.</w:t>
      </w:r>
    </w:p>
    <w:p>
      <w:pPr>
        <w:pStyle w:val="Heading2"/>
      </w:pPr>
      <w:r>
        <w:t xml:space="preserve">Текст</w:t>
      </w:r>
    </w:p>
    <w:p>
      <w:r>
        <w:t xml:space="preserve">Справка о внесении изменений в сводный план поступлений по вознаграждениям (интересам) по кредитам и по погашению кредитов, выданных из бюджета вышестоящего уровня, предоставляется уполномоченным органом по исполнению бюджета вышестоящего уровня уполномоченному органу по исполнению бюджета нижестоящего уровня.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