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финансов Республики Казахстан от 30 мая 2025 года № 272 "Об утверждении Правил исполнения бюджета и его кассового обслуживания на 2025 финансовый год"</w:t>
      </w:r>
    </w:p>
    <w:p>
      <w:r>
        <w:t xml:space="preserve">Приказ, Изменения. Министерство финансов Республики Казахстан. от 16.09.2025. № 214346. редакция от 16.09.2025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30 мая 2025 года № 272 "Об утверждении Правил исполнения бюджета и его кассового обслуживания на 2025 финансовый год" следующие изменения:</w:t>
      </w:r>
    </w:p>
    <w:p>
      <w:r>
        <w:t xml:space="preserve">в Правилах исполнения бюджета и его кассового обслуживания на 2025 финансовый год, утвержденных указанным приказом:</w:t>
      </w:r>
    </w:p>
    <w:p>
      <w:r>
        <w:t xml:space="preserve">пункт 181 изложить в следующей редакции:</w:t>
      </w:r>
    </w:p>
    <w:p>
      <w:r>
        <w:t xml:space="preserve">"181. Государственное учреждение заключает договор и/или дополнительное соглашение в рамках одной бюджетной программы в пределах индивидуального плана финансирования по обязательствам, за исключением случаев:</w:t>
      </w:r>
    </w:p>
    <w:p>
      <w:pPr>
        <w:pStyle w:val="Heading2"/>
      </w:pPr>
      <w:r>
        <w:t xml:space="preserve">Подпункт 1</w:t>
      </w:r>
    </w:p>
    <w:p>
      <w:r>
        <w:t xml:space="preserve">1) выделения средств из резервов Правительства Республики Казахстан или местного исполнительного органа области, района (города областного значения);</w:t>
      </w:r>
    </w:p>
    <w:p>
      <w:pPr>
        <w:pStyle w:val="Heading2"/>
      </w:pPr>
      <w:r>
        <w:t xml:space="preserve">Подпункт 2</w:t>
      </w:r>
    </w:p>
    <w:p>
      <w:r>
        <w:t xml:space="preserve">2) изменения источника финансирования по гражданско-правовым сделкам в рамках реализации проектов, ранее профинансированных за счет средств Фонда поддержки инфраструктуры образования и/или Специального государственного фонда. При этом, регистрации в органах государственного казначейства подлежат дополнительные соглашения по гражданско-правовым сделкам в рамках реализации проектов, ранее профинансированных за счет средств Фонда поддержки инфраструктуры образования и/или Специального государственного фонда без регистрации основного договора.</w:t>
      </w:r>
    </w:p>
    <w:p>
      <w:r>
        <w:t xml:space="preserve">К заявке на регистрацию дополнительного соглашения прилагается пояснительная записка в соответствии с пунктом 207 настоящих Правил в которой дополнительно указывается сумма оплаченных обязательств по договору, ранее профинансированному за счет средств Фонда поддержки инфраструктуры образования и/или Специального государственного фонда.</w:t>
      </w:r>
    </w:p>
    <w:p>
      <w:r>
        <w:t xml:space="preserve">В случае выделения средств из Специального государственного фонда в рамках реализации проектов, ранее профинансированных за счет средств республиканского и/или местного бюджетов, дополнительное соглашение заключается без регистрации в органах государственного казначейства.</w:t>
      </w:r>
    </w:p>
    <w:p>
      <w:r>
        <w:t xml:space="preserve">При заключении государственным учреждением договора с одним получателем денег по нескольким бюджетным подпрограммам или спецификам экономической классификации расходов в договоре указывается общая сумма с разбивкой ее по каждой бюджетной подпрограмме или каждому коду бюджетной классификации расходов.</w:t>
      </w:r>
    </w:p>
    <w:p>
      <w:r>
        <w:t xml:space="preserve">При заключении договора, реализуемого за счет целевых трансфертов на развитие из вышестоящего бюджета, государственное учреждение обеспечивает обязательное указание бюджетных подпрограмм с ежегодными суммами со финансирования из местного бюджета в размере, утвержденном в областном, районном (города областного значения) бюджете для реализации местных бюджетных программ развития.";</w:t>
      </w:r>
    </w:p>
    <w:p>
      <w:r>
        <w:t xml:space="preserve">пункт 404 изложить в следующей редакции:</w:t>
      </w:r>
    </w:p>
    <w:p>
      <w:r>
        <w:t xml:space="preserve">"404. В настоящей главе используются следующие основные понятия:</w:t>
      </w:r>
    </w:p>
    <w:p>
      <w:r>
        <w:t xml:space="preserve">казначейское сопровождение – деятельность по осуществлению текущего контроля в соответствии со статьей 110 Бюджетного кодекса за целевым использованием средств, выделенных на авансирование при реализации бюджетных инвестиционных проектов, связанных со строительством, при проведении платежей через контрольные счета наличности;</w:t>
      </w:r>
    </w:p>
    <w:p>
      <w:r>
        <w:t xml:space="preserve">генеральный подрядчик (поставщик) в рамках казначейского сопровождения – юридическое лицо (за исключением государственных учреждений, если иное не установлено законами Республики Казахстан) или временное объединение юридических лиц (консорциум), выступающие в качестве стороны в заключенном с заказчиком договоре о государственных закупках в рамках казначейского сопровождения (далее – генеральный подрядчик);</w:t>
      </w:r>
    </w:p>
    <w:p>
      <w:r>
        <w:t xml:space="preserve">заказчик в рамках казначейского сопровождения – государственное учреждение, организатор государственных закупок по строительству в рамках казначейского сопровождения (далее – заказчик);</w:t>
      </w:r>
    </w:p>
    <w:p>
      <w:r>
        <w:t xml:space="preserve">контрольный счет наличности государственных закупок – счет, связанный с зачислением средств и их использованием генеральным подрядчиком в рамках казначейского сопровождения;</w:t>
      </w:r>
    </w:p>
    <w:p>
      <w:r>
        <w:t xml:space="preserve">платежный сертификат – документ, предоставляемый заказчиком генеральному подрядчику в рамках казначейского сопровождения для дальнейшего представления в органы государственного казначейства при проведении платежей в рамках казначейского сопровождения, который служит основанием для осуществления платежа, по форме согласно приложению 113 к настоящим Правилам.";</w:t>
      </w:r>
    </w:p>
    <w:p>
      <w:r>
        <w:t xml:space="preserve">пункты 413 и 414 изложить в следующей редакции:</w:t>
      </w:r>
    </w:p>
    <w:p>
      <w:r>
        <w:t xml:space="preserve">"413. Органы государственного казначейства осуществляют контроль при проведении платежей генерального подрядчика в порядке, предусмотренном настоящими Правилами.</w:t>
      </w:r>
    </w:p>
    <w:p>
      <w:r>
        <w:t xml:space="preserve">Для регистрации гражданско-правовой сделки, связанной со строительством объектов, подлежащих казначейскому сопровождению, в органы государственного казначейства предоставляется заявка на сумму договора, предусмотренную на текущий финансовый год, с указанием суммы авансовой (предварительной) оплаты и реквизитов контрольного счета наличности генерального подрядчика, открытого в государственном казначействе в порядке, предусмотренном пунктом 405 настоящих Правил.</w:t>
      </w:r>
    </w:p>
    <w:p>
      <w:r>
        <w:t xml:space="preserve">Орган государственного казначейства осуществляет проверку договора (дополнительного соглашения), подлежащего казначейскому сопровождению, предоставленного на регистрацию заказчиком на бумажном носителе или электронным образом по информационной системе "Казначейство-клиент" на соответствие требованиям, указанным параграфом 5 главы 6 настоящих Правил, и дополнительно на:</w:t>
      </w:r>
    </w:p>
    <w:p>
      <w:r>
        <w:t xml:space="preserve">наличие условия о перечислении авансовой (предварительной) оплаты по договору на контрольный счет наличности государственных закупок, открытый в государственном казначействе;</w:t>
      </w:r>
    </w:p>
    <w:p>
      <w:r>
        <w:t xml:space="preserve">наличие условия выписки счетов-фактур через информационную систему электронных счет-фактур.</w:t>
      </w:r>
    </w:p>
    <w:p>
      <w:r>
        <w:t xml:space="preserve">На поставщиков, с которыми заключены договора в рамках казначейского сопровождения, требование по внесению обеспечения аванса не распространяется.</w:t>
      </w:r>
    </w:p>
    <w:p>
      <w:pPr>
        <w:pStyle w:val="Heading2"/>
      </w:pPr>
      <w:r>
        <w:t xml:space="preserve">Пункт 414</w:t>
      </w:r>
    </w:p>
    <w:p>
      <w:r>
        <w:t xml:space="preserve">414. После выплаты суммы авансирования согласно условиям договора (дополнительного соглашения), подлежащих казначейскому сопровождению, в органы государственного казначейства предоставляется заявка для регистрации дополнительного соглашения на оставшуюся сумму текущего финансового года с указанием реквизитов счета генерального подрядчика, открытого в банке второго уровня в порядке, предусмотренном пунктом 215 настоящих Правил с пояснительной запиской государственного учреждения, в которой указываются все номера и дата уведомлений о регистрации обязательства, причина изменений условий договора, а также сумма договора при ее изменении.";</w:t>
      </w:r>
    </w:p>
    <w:p>
      <w:r>
        <w:t xml:space="preserve">пункт 417 изложить в следующей редакции:</w:t>
      </w:r>
    </w:p>
    <w:p>
      <w:r>
        <w:t xml:space="preserve">"417. Платежи и (или) переводы денег генерального подрядчика, связанных с приобретением товаров (работ, услуг), проводятся в пределах остатков денег, находящихся на контрольном счете наличности государственных закупок, путем формирования генеральным подрядчиком платежного поручения по форме, установленной постановлением № 208.</w:t>
      </w:r>
    </w:p>
    <w:p>
      <w:r>
        <w:t xml:space="preserve">Основанием для формирования генеральным подрядчиком платежного поручения является платежный сертификат (при обслуживании по информационной системе "Казначейство-клиент" предоставляется сканированный образ с оригинала), электронная счет-фактура, интегрированная из информационной системы электронных счет-фактур в информационную систему "Казначейство-клиент".</w:t>
      </w:r>
    </w:p>
    <w:p>
      <w:r>
        <w:t xml:space="preserve">Возмещение текущих затрат, произведенных за счет собственных средств генерального подрядчика с контрольного счета наличности государственных закупок, открытого в государственном казначействе, на счета генерального подрядчика, открытые в банках второго уровня, не допускается.</w:t>
      </w:r>
    </w:p>
    <w:p>
      <w:r>
        <w:t xml:space="preserve">Для проведения платежей по перечислению заработной платы и других денежных выплат работникам, а также других выплат физическим лицам на их текущие или сберегательные счета, открытые в банке второго уровня, обязательных пенсионных взносов, обязательных пенсионных взносов работодателей, обязательных профессиональных взносов, добровольных пенсионных взносов и социальных отчислений, отчислений и (или) взносов на обязательное социальное медицинское страхование, платежей по договорам накопительного вида страхования по информационной системе "Казначейство-клиент" к электронному образу платежного поручения прикрепляются платежный сертификат и списки получателей денег в электронном формате платежей в соответствии с приложениями 140 , 141 , 142 , 143 и 144 к настоящим Правилам и подписываются электронной цифровой подписью генерального подрядчика и бухгалтера.</w:t>
      </w:r>
    </w:p>
    <w:p>
      <w:r>
        <w:t xml:space="preserve">Уплата налогов и других обязательных платежей в бюджет генеральным подрядчиком осуществляется на основании платежного поручения и платежного сертификата.</w:t>
      </w:r>
    </w:p>
    <w:p>
      <w:r>
        <w:t xml:space="preserve">Перечисление генеральным подрядчиком авансовой (предварительной) оплаты с контрольного счета наличности государственных закупок, открытого в государственном казначействе на счета субподрядчиков и (или) поставщиков, открытые в банках второго уровня, осуществляется на основании платежного сертификата.</w:t>
      </w:r>
    </w:p>
    <w:p>
      <w:r>
        <w:t xml:space="preserve">Перечисление генеральным подрядчиком (основным участником консорциума) авансовой (предварительной) оплаты с контрольного счета наличности государственных закупок, открытого в государственном казначействе на счета участников консорциума, открытые в банках второго уровня, осуществляется на основании платежного сертификата.</w:t>
      </w:r>
    </w:p>
    <w:p>
      <w:r>
        <w:t xml:space="preserve">Генеральные подрядчики обеспечивают предоставление в органы государственного казначейства платежного поручения с приложением документов, указанных в настоящем пункте.</w:t>
      </w:r>
    </w:p>
    <w:p>
      <w:r>
        <w:t xml:space="preserve">При заполнении платежного поручения генеральным подрядчиком в поле "Назначение платежа" указываются назначение платежа, наименование, номер и дата подтверждающих документов.".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бюджетного законодательства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направление копии настоящего приказа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