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Целиноградского районного маслихата от 25 декабря 2024 года № 284/36-8 "О бюджете сельского округа Кабанбай батыра на 2025-2027 годы"</w:t>
      </w:r>
    </w:p>
    <w:p>
      <w:r>
        <w:t xml:space="preserve">Решение, Изменения. Маслихат Целиноградского района. от 21.11.2025. № 217213. редакция от 21.11.2025</w:t>
      </w:r>
    </w:p>
    <w:p>
      <w:pPr>
        <w:pStyle w:val="Heading2"/>
      </w:pPr>
      <w:r>
        <w:t xml:space="preserve">Текст</w:t>
      </w:r>
    </w:p>
    <w:p>
      <w:r>
        <w:t xml:space="preserve">Целиноградский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Целиноградского районного маслихата "О бюджете сельского округа Кабанбай батыра на 2025-2027 годы" от 25 декабря 2024 года № 284/36-8 (зарегистрировано в Реестре государственной регистрации нормативных правовых актов под № 205852)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Кабанбай батыра на 2025-2027 годы согласно приложениям 1,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98 230,0 тысяч тенге, в том числе:</w:t>
      </w:r>
    </w:p>
    <w:p>
      <w:r>
        <w:t xml:space="preserve">налоговые поступления – 93 337,4 тысяч тенге;</w:t>
      </w:r>
    </w:p>
    <w:p>
      <w:r>
        <w:t xml:space="preserve">поступления от продажи основного капитала – 4 892,6 тысяч тенге;</w:t>
      </w:r>
    </w:p>
    <w:p>
      <w:r>
        <w:t xml:space="preserve">поступления трансфертов – 0,0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114 450,9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-16 220,9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16 220,9 тысяч тенге;</w:t>
      </w:r>
    </w:p>
    <w:p>
      <w:r>
        <w:t xml:space="preserve">используемые остатки бюджетных средств – 16 220,9 тысяч тенге.";</w:t>
      </w:r>
    </w:p>
    <w:p>
      <w:pPr>
        <w:pStyle w:val="Heading2"/>
      </w:pPr>
      <w:r>
        <w:t xml:space="preserve">Приложение приложение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Целиноградского районного маслихата | Л. Конарбаева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Целиноградского района</w:t>
      </w:r>
    </w:p>
    <w:p>
      <w:pPr>
        <w:pStyle w:val="Heading2"/>
      </w:pPr>
      <w:r>
        <w:t xml:space="preserve">Текст</w:t>
      </w:r>
    </w:p>
    <w:p>
      <w:r>
        <w:t xml:space="preserve">Д. Сабырғали</w:t>
      </w:r>
    </w:p>
    <w:p>
      <w:pPr>
        <w:pStyle w:val="Heading2"/>
      </w:pPr>
      <w:r>
        <w:t xml:space="preserve">Текст</w:t>
      </w:r>
    </w:p>
    <w:p>
      <w:r>
        <w:t xml:space="preserve">21 ноября 2025 года</w:t>
      </w:r>
    </w:p>
    <w:p>
      <w:pPr>
        <w:pStyle w:val="Heading2"/>
      </w:pPr>
      <w:r>
        <w:t xml:space="preserve">Текст</w:t>
      </w:r>
    </w:p>
    <w:p>
      <w:r>
        <w:t xml:space="preserve">Исполняющая обязанности</w:t>
      </w:r>
    </w:p>
    <w:p>
      <w:pPr>
        <w:pStyle w:val="Heading2"/>
      </w:pPr>
      <w:r>
        <w:t xml:space="preserve">Текст</w:t>
      </w:r>
    </w:p>
    <w:p>
      <w:r>
        <w:t xml:space="preserve">руководителя</w:t>
      </w:r>
    </w:p>
    <w:p>
      <w:pPr>
        <w:pStyle w:val="Heading2"/>
      </w:pPr>
      <w:r>
        <w:t xml:space="preserve">Текст</w:t>
      </w:r>
    </w:p>
    <w:p>
      <w:r>
        <w:t xml:space="preserve">государственного учреждения</w:t>
      </w:r>
    </w:p>
    <w:p>
      <w:pPr>
        <w:pStyle w:val="Heading2"/>
      </w:pPr>
      <w:r>
        <w:t xml:space="preserve">Текст</w:t>
      </w:r>
    </w:p>
    <w:p>
      <w:r>
        <w:t xml:space="preserve">"Отдел экономики и финансов</w:t>
      </w:r>
    </w:p>
    <w:p>
      <w:pPr>
        <w:pStyle w:val="Heading2"/>
      </w:pPr>
      <w:r>
        <w:t xml:space="preserve">Текст</w:t>
      </w:r>
    </w:p>
    <w:p>
      <w:r>
        <w:t xml:space="preserve">Целиноградского района"</w:t>
      </w:r>
    </w:p>
    <w:p>
      <w:pPr>
        <w:pStyle w:val="Heading2"/>
      </w:pPr>
      <w:r>
        <w:t xml:space="preserve">Текст</w:t>
      </w:r>
    </w:p>
    <w:p>
      <w:r>
        <w:t xml:space="preserve">А. Беркеева</w:t>
      </w:r>
    </w:p>
    <w:p>
      <w:pPr>
        <w:pStyle w:val="Heading2"/>
      </w:pPr>
      <w:r>
        <w:t xml:space="preserve">Текст</w:t>
      </w:r>
    </w:p>
    <w:p>
      <w:r>
        <w:t xml:space="preserve">21 ноября 2025 года</w:t>
      </w:r>
    </w:p>
    <w:p>
      <w:r>
        <w:t xml:space="preserve">|  | Приложение 1 к решению Целиноградского районного маслихата от 21 ноября 2025 года № 401/53-8 |</w:t>
      </w:r>
    </w:p>
    <w:p>
      <w:r>
        <w:t xml:space="preserve">|---|---|</w:t>
      </w:r>
    </w:p>
    <w:p>
      <w:r>
        <w:t xml:space="preserve">|  | Приложение 1 к решению Целиноградского районного маслихата от 25 декабря 2024 года № 284/36-8 |</w:t>
      </w:r>
    </w:p>
    <w:p>
      <w:pPr>
        <w:pStyle w:val="Heading2"/>
      </w:pPr>
      <w:r>
        <w:t xml:space="preserve">Глава Бюджет сельского округа Кабанбай батыра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98 230,0 |</w:t>
      </w:r>
    </w:p>
    <w:p>
      <w:r>
        <w:t xml:space="preserve">| 1 |  |  | Налоговые поступления | 93 337,4 |</w:t>
      </w:r>
    </w:p>
    <w:p>
      <w:r>
        <w:t xml:space="preserve">|  | 01 |  | Подоходный налог | 52 437,4 |</w:t>
      </w:r>
    </w:p>
    <w:p>
      <w:r>
        <w:t xml:space="preserve">|  |  | 2 | Индивидуальный подоходный налог | 52 437,4 |</w:t>
      </w:r>
    </w:p>
    <w:p>
      <w:r>
        <w:t xml:space="preserve">|  | 04 |  | Hалоги на собственность | 40 900,0 |</w:t>
      </w:r>
    </w:p>
    <w:p>
      <w:r>
        <w:t xml:space="preserve">|  |  | 1 | Hалоги на имущество | 1 200,0 |</w:t>
      </w:r>
    </w:p>
    <w:p>
      <w:r>
        <w:t xml:space="preserve">|  |  | 3 | Земельный налог | 700,0 |</w:t>
      </w:r>
    </w:p>
    <w:p>
      <w:r>
        <w:t xml:space="preserve">|  |  | 4 | Hалог на транспортные средства | 39 000,0 |</w:t>
      </w:r>
    </w:p>
    <w:p>
      <w:r>
        <w:t xml:space="preserve">| 3 |  |  | Поступления от продажи основного капитала | 4 892,6 |</w:t>
      </w:r>
    </w:p>
    <w:p>
      <w:r>
        <w:t xml:space="preserve">|  | 03 |  | Продажа земли и нематериальных активов | 4 892,6 |</w:t>
      </w:r>
    </w:p>
    <w:p>
      <w:r>
        <w:t xml:space="preserve">|  |  | 1 | Продажа земли | 4 892,6 |</w:t>
      </w:r>
    </w:p>
    <w:p>
      <w:r>
        <w:t xml:space="preserve">| 4 |  |  | Поступления трансфертов | 0,0 |</w:t>
      </w:r>
    </w:p>
    <w:p>
      <w:r>
        <w:t xml:space="preserve">|  | 02 |  | Трансферты из вышестоящих органов государственного управления | 0,0 |</w:t>
      </w:r>
    </w:p>
    <w:p>
      <w:r>
        <w:t xml:space="preserve">|  |  | 3 | Трансферты из районного (города областного значения) бюджета | 0,0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II. Затраты | 114 450,9 |</w:t>
      </w:r>
    </w:p>
    <w:p>
      <w:r>
        <w:t xml:space="preserve">| 01 |  |  | Государственные услуги общего характера | 49 528,0 |</w:t>
      </w:r>
    </w:p>
    <w:p>
      <w:r>
        <w:t xml:space="preserve">|  | 124 |  | Аппарат акима города районного значения, села, поселка, сельского округа | 49 528,0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49 528,0 |</w:t>
      </w:r>
    </w:p>
    <w:p>
      <w:r>
        <w:t xml:space="preserve">|  |  | 022 | Капитальные расходы государственного органа | 0,0 |</w:t>
      </w:r>
    </w:p>
    <w:p>
      <w:r>
        <w:t xml:space="preserve">| 07 |  |  | Жилищно-коммунальное хозяйство | 45 402,9 |</w:t>
      </w:r>
    </w:p>
    <w:p>
      <w:r>
        <w:t xml:space="preserve">|  | 124 |  | Аппарат акима города районного значения, села, поселка, сельского округа | 45 402,9 |</w:t>
      </w:r>
    </w:p>
    <w:p>
      <w:r>
        <w:t xml:space="preserve">|  |  | 008 | Освещение улиц населенных пунктов | 30 000,0 |</w:t>
      </w:r>
    </w:p>
    <w:p>
      <w:r>
        <w:t xml:space="preserve">|  |  | 011 | Благоустройство и озеленение населенных пунктов | 15 402,9 |</w:t>
      </w:r>
    </w:p>
    <w:p>
      <w:r>
        <w:t xml:space="preserve">| 12 |  |  | Транспорт и коммуникации | 19 520,0 |</w:t>
      </w:r>
    </w:p>
    <w:p>
      <w:r>
        <w:t xml:space="preserve">|  | 124 |  | Аппарат акима города районного значения, села, поселка, сельского округа | 19 520,0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19 520,0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-16 220,9 |</w:t>
      </w:r>
    </w:p>
    <w:p>
      <w:r>
        <w:t xml:space="preserve">|  |  |  | VI. Финансирование дефицита (использование профицита) бюджета | 16 220,9 |</w:t>
      </w:r>
    </w:p>
    <w:p>
      <w:r>
        <w:t xml:space="preserve">| 8 |  |  | Используемые остатки бюджетных средств | 16 220,9 |</w:t>
      </w:r>
    </w:p>
    <w:p>
      <w:r>
        <w:t xml:space="preserve">|  | 01 |  | Остатки бюджетных средств | 16 220,9 |</w:t>
      </w:r>
    </w:p>
    <w:p>
      <w:r>
        <w:t xml:space="preserve">|  |  | 1 | Свободные остатки бюджетных средств | 16 220,9 |</w:t>
      </w:r>
    </w:p>
    <w:p>
      <w:r>
        <w:t xml:space="preserve">|  | Приложение 2 к решению Целиноградского районного маслихата от 21 ноября 2025 года № 401/53-8 |</w:t>
      </w:r>
    </w:p>
    <w:p>
      <w:r>
        <w:t xml:space="preserve">|---|---|</w:t>
      </w:r>
    </w:p>
    <w:p>
      <w:r>
        <w:t xml:space="preserve">|  | Приложение 4 к решению Целиноградского районного маслихата от 25 декабря 2024 года № 284/36-8 |</w:t>
      </w:r>
    </w:p>
    <w:p>
      <w:pPr>
        <w:pStyle w:val="Heading2"/>
      </w:pPr>
      <w:r>
        <w:t xml:space="preserve">Глава Целевые трансферты из районного бюджета на 2025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Всего, в том числе: | 0,0 |</w:t>
      </w:r>
    </w:p>
    <w:p>
      <w:r>
        <w:t xml:space="preserve">| Целевые текущие трансферты, в том числе: | 0,0 |</w:t>
      </w:r>
    </w:p>
    <w:p>
      <w:r>
        <w:t xml:space="preserve">| на текущее содержание аппаратов акимов сел, сельских округов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