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288/36-8 "О бюджете села Коянды на 2025-2027 годы"</w:t>
      </w:r>
    </w:p>
    <w:p>
      <w:r>
        <w:t xml:space="preserve">Решение. Маслихат Целиноградского района. от 20.10.2025. № 215918. редакция от 20.10.2025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села Коянды на 2025-2027 годы" от 25 декабря 2024 года № 288/36-8 (зарегистрировано в Реестре государственной регистрации нормативных правовых актов под № 205857)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Коянды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219 913,0 тысяч тенге, в том числе:</w:t>
      </w:r>
    </w:p>
    <w:p>
      <w:r>
        <w:t xml:space="preserve">налоговые поступления – 124 509,4 тысяч тенге;</w:t>
      </w:r>
    </w:p>
    <w:p>
      <w:r>
        <w:t xml:space="preserve">поступления от продажи основного капитала – 31 722,4 тысяч тенге;</w:t>
      </w:r>
    </w:p>
    <w:p>
      <w:r>
        <w:t xml:space="preserve">поступления трансфертов – 63 681,2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260 313,0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-40 400,0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40 400,0 тысяч тенге;</w:t>
      </w:r>
    </w:p>
    <w:p>
      <w:r>
        <w:t xml:space="preserve">используемые остатки бюджетных средств – 40 400,0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r>
        <w:t xml:space="preserve">|  | Приложение 1 к решению Целиноградского районного маслихата от 20 октября 2025 года № 387/50-8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288/36-8 |</w:t>
      </w:r>
    </w:p>
    <w:p>
      <w:pPr>
        <w:pStyle w:val="Heading2"/>
      </w:pPr>
      <w:r>
        <w:t xml:space="preserve">Глава Бюджет села Коянды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219 913,0 |</w:t>
      </w:r>
    </w:p>
    <w:p>
      <w:r>
        <w:t xml:space="preserve">| 1 |  |  | Налоговые поступления | 124 509,4 |</w:t>
      </w:r>
    </w:p>
    <w:p>
      <w:r>
        <w:t xml:space="preserve">|  | 01 |  | Подоходный налог | 79 026,0 |</w:t>
      </w:r>
    </w:p>
    <w:p>
      <w:r>
        <w:t xml:space="preserve">|  |  | 2 | Индивидуальный подоходный налог | 79 026,0 |</w:t>
      </w:r>
    </w:p>
    <w:p>
      <w:r>
        <w:t xml:space="preserve">|  | 04 |  | Hалоги на собственность | 44 574,7 |</w:t>
      </w:r>
    </w:p>
    <w:p>
      <w:r>
        <w:t xml:space="preserve">|  |  | 1 | Hалоги на имущество | 3 908,8 |</w:t>
      </w:r>
    </w:p>
    <w:p>
      <w:r>
        <w:t xml:space="preserve">|  |  | 3 | Земельный налог | 950,0 |</w:t>
      </w:r>
    </w:p>
    <w:p>
      <w:r>
        <w:t xml:space="preserve">|  |  | 4 | Hалог на транспортные средства | 39 706,9 |</w:t>
      </w:r>
    </w:p>
    <w:p>
      <w:r>
        <w:t xml:space="preserve">|  |  | 5 | Единый земельный налог | 9,0 |</w:t>
      </w:r>
    </w:p>
    <w:p>
      <w:r>
        <w:t xml:space="preserve">|  | 05 |  | Внутренние налоги на товары, работы и услуги | 908,7 |</w:t>
      </w:r>
    </w:p>
    <w:p>
      <w:r>
        <w:t xml:space="preserve">|  |  | 3 | Поступления за использование природных и других ресурсов | 908,7 |</w:t>
      </w:r>
    </w:p>
    <w:p>
      <w:r>
        <w:t xml:space="preserve">| 3 |  |  | Поступления от продажи основного капитала | 31 722,4 |</w:t>
      </w:r>
    </w:p>
    <w:p>
      <w:r>
        <w:t xml:space="preserve">|  | 03 |  | Продажа земли и нематериальных активов | 31 722,4 |</w:t>
      </w:r>
    </w:p>
    <w:p>
      <w:r>
        <w:t xml:space="preserve">|  |  | 1 | Продажа земли | 24 080,8 |</w:t>
      </w:r>
    </w:p>
    <w:p>
      <w:r>
        <w:t xml:space="preserve">|  |  | 2 | Продажа нематериальных активов | 7 641,6 |</w:t>
      </w:r>
    </w:p>
    <w:p>
      <w:r>
        <w:t xml:space="preserve">| 4 |  |  | Поступления трансфертов | 63 681,2 |</w:t>
      </w:r>
    </w:p>
    <w:p>
      <w:r>
        <w:t xml:space="preserve">|  | 02 |  | Трансферты из вышестоящих органов государственного управления | 63 681,2 |</w:t>
      </w:r>
    </w:p>
    <w:p>
      <w:r>
        <w:t xml:space="preserve">|  |  | 3 | Трансферты из районного (города областного значения) бюджета | 63 681,2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260 313,0 |</w:t>
      </w:r>
    </w:p>
    <w:p>
      <w:r>
        <w:t xml:space="preserve">| 01 |  |  | Государственные услуги общего характера | 74 188,8 |</w:t>
      </w:r>
    </w:p>
    <w:p>
      <w:r>
        <w:t xml:space="preserve">|  | 124 |  | Аппарат акима города районного значения, села, поселка, сельского округа | 74 188,8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74 188,8 |</w:t>
      </w:r>
    </w:p>
    <w:p>
      <w:r>
        <w:t xml:space="preserve">| 07 |  |  | Жилищно-коммунальное хозяйство | 186 124,2 |</w:t>
      </w:r>
    </w:p>
    <w:p>
      <w:r>
        <w:t xml:space="preserve">|  | 124 |  | Аппарат акима города районного значения, села, поселка, сельского округа | 186 124,2 |</w:t>
      </w:r>
    </w:p>
    <w:p>
      <w:r>
        <w:t xml:space="preserve">|  |  | 008 | Освещение улиц населенных пунктов | 46 500,0 |</w:t>
      </w:r>
    </w:p>
    <w:p>
      <w:r>
        <w:t xml:space="preserve">|  |  | 011 | Благоустройство и озеленение населенных пунктов | 39 693,8 |</w:t>
      </w:r>
    </w:p>
    <w:p>
      <w:r>
        <w:t xml:space="preserve">| 12 |  |  | Транспорт и коммуникации | 99 930,4 |</w:t>
      </w:r>
    </w:p>
    <w:p>
      <w:r>
        <w:t xml:space="preserve">|  | 124 |  | Аппарат акима города районного значения, села, поселка, сельского округа | 99 930,4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99 930,4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-40 400,0 |</w:t>
      </w:r>
    </w:p>
    <w:p>
      <w:r>
        <w:t xml:space="preserve">|  |  |  | VI. Финансирование дефицита (использование профицита) бюджета | 40 400,0 |</w:t>
      </w:r>
    </w:p>
    <w:p>
      <w:r>
        <w:t xml:space="preserve">| 8 |  |  | Используемые остатки бюджетных средств | 40 400,0 |</w:t>
      </w:r>
    </w:p>
    <w:p>
      <w:r>
        <w:t xml:space="preserve">|  | 01 |  | Остатки бюджетных средств | 40 400,0 |</w:t>
      </w:r>
    </w:p>
    <w:p>
      <w:r>
        <w:t xml:space="preserve">|  |  | 1 | Свободные остатки бюджетных средств | 40 400,0 |</w:t>
      </w:r>
    </w:p>
    <w:p>
      <w:r>
        <w:t xml:space="preserve">|  | Приложение 2 к решению Целиноградского районного маслихата от 20 октября 2025 года № 387/50-8 |</w:t>
      </w:r>
    </w:p>
    <w:p>
      <w:r>
        <w:t xml:space="preserve">|---|---|</w:t>
      </w:r>
    </w:p>
    <w:p>
      <w:r>
        <w:t xml:space="preserve">|  | Приложение 4 к решению Целиноградскогорайонного маслихата от 25 декабря 2024 года № 288/36-8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63 681,2 |</w:t>
      </w:r>
    </w:p>
    <w:p>
      <w:r>
        <w:t xml:space="preserve">| Целевые текущие трансферты, в том числе: | 63 681,2 |</w:t>
      </w:r>
    </w:p>
    <w:p>
      <w:r>
        <w:t xml:space="preserve">| на текущее содержание аппаратов акимов сел, сельских округов | 477,2 |</w:t>
      </w:r>
    </w:p>
    <w:p>
      <w:r>
        <w:t xml:space="preserve">| на освещение улиц населенных пунктов | 10 000,0 |</w:t>
      </w:r>
    </w:p>
    <w:p>
      <w:r>
        <w:t xml:space="preserve">| на содержание дорог | 53 204,0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